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BF" w:rsidRPr="00AF51A6" w:rsidRDefault="00386FBF">
      <w:pPr>
        <w:rPr>
          <w:rFonts w:ascii="Arial Narrow" w:hAnsi="Arial Narrow"/>
          <w:color w:val="262626" w:themeColor="text1" w:themeTint="D9"/>
          <w:sz w:val="32"/>
          <w:szCs w:val="32"/>
        </w:rPr>
      </w:pPr>
    </w:p>
    <w:p w:rsidR="00AF51A6" w:rsidRPr="00AF51A6" w:rsidRDefault="00AF51A6">
      <w:pPr>
        <w:rPr>
          <w:rFonts w:ascii="Arial Narrow" w:hAnsi="Arial Narrow"/>
          <w:color w:val="BFBFBF" w:themeColor="background1" w:themeShade="BF"/>
          <w:sz w:val="32"/>
          <w:szCs w:val="32"/>
        </w:rPr>
      </w:pPr>
    </w:p>
    <w:p w:rsidR="00332FCB" w:rsidRPr="001A69DF" w:rsidRDefault="00332FCB">
      <w:pPr>
        <w:rPr>
          <w:rFonts w:ascii="Arial" w:hAnsi="Arial" w:cs="Arial"/>
          <w:caps/>
          <w:color w:val="BFBFBF" w:themeColor="background1" w:themeShade="BF"/>
          <w:spacing w:val="12"/>
          <w:sz w:val="32"/>
          <w:szCs w:val="32"/>
        </w:rPr>
      </w:pPr>
      <w:r w:rsidRPr="001A69DF">
        <w:rPr>
          <w:rFonts w:ascii="Arial" w:hAnsi="Arial" w:cs="Arial"/>
          <w:caps/>
          <w:color w:val="BFBFBF" w:themeColor="background1" w:themeShade="BF"/>
          <w:spacing w:val="12"/>
          <w:sz w:val="32"/>
          <w:szCs w:val="32"/>
        </w:rPr>
        <w:t>Millward Brown Digital Original Research</w:t>
      </w:r>
    </w:p>
    <w:p w:rsidR="001A52D7" w:rsidRPr="001A52D7" w:rsidRDefault="001A52D7" w:rsidP="001A52D7">
      <w:pPr>
        <w:rPr>
          <w:rFonts w:ascii="Georgia" w:hAnsi="Georgia"/>
          <w:b/>
          <w:color w:val="262626" w:themeColor="text1" w:themeTint="D9"/>
          <w:sz w:val="52"/>
          <w:szCs w:val="52"/>
        </w:rPr>
      </w:pPr>
      <w:r w:rsidRPr="001A52D7">
        <w:rPr>
          <w:rFonts w:ascii="Georgia" w:hAnsi="Georgia"/>
          <w:b/>
          <w:color w:val="262626" w:themeColor="text1" w:themeTint="D9"/>
          <w:sz w:val="52"/>
          <w:szCs w:val="52"/>
        </w:rPr>
        <w:t>Amazon Prime’s Disruptive Impact on the Path to Purchase</w:t>
      </w:r>
    </w:p>
    <w:p w:rsidR="00AA3275" w:rsidRDefault="00AA3275" w:rsidP="00845A54">
      <w:pPr>
        <w:rPr>
          <w:rFonts w:ascii="Georgia" w:hAnsi="Georgia"/>
          <w:b/>
          <w:color w:val="262626" w:themeColor="text1" w:themeTint="D9"/>
          <w:sz w:val="52"/>
          <w:szCs w:val="52"/>
        </w:rPr>
      </w:pPr>
    </w:p>
    <w:p w:rsidR="00845A54" w:rsidRPr="003F2BC6" w:rsidRDefault="00845A54" w:rsidP="00845A54">
      <w:pPr>
        <w:rPr>
          <w:rFonts w:ascii="Georgia" w:hAnsi="Georgia"/>
          <w:b/>
          <w:color w:val="262626" w:themeColor="text1" w:themeTint="D9"/>
          <w:sz w:val="52"/>
          <w:szCs w:val="52"/>
        </w:rPr>
        <w:sectPr w:rsidR="00845A54" w:rsidRPr="003F2BC6" w:rsidSect="007266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1440" w:left="1152" w:header="720" w:footer="720" w:gutter="0"/>
          <w:cols w:space="720"/>
        </w:sectPr>
      </w:pPr>
    </w:p>
    <w:p w:rsidR="001A52D7" w:rsidRP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A52D7">
        <w:rPr>
          <w:rFonts w:ascii="Arial" w:hAnsi="Arial" w:cs="Arial"/>
          <w:sz w:val="20"/>
          <w:szCs w:val="20"/>
        </w:rPr>
        <w:lastRenderedPageBreak/>
        <w:t>There are countless examples of how Amazon has disrupted the consumer path to purchase and altered the competitive</w:t>
      </w:r>
      <w:r w:rsidR="00C86280">
        <w:rPr>
          <w:rFonts w:ascii="Arial" w:hAnsi="Arial" w:cs="Arial"/>
          <w:sz w:val="20"/>
          <w:szCs w:val="20"/>
        </w:rPr>
        <w:t xml:space="preserve"> retail</w:t>
      </w:r>
      <w:r w:rsidRPr="001A52D7">
        <w:rPr>
          <w:rFonts w:ascii="Arial" w:hAnsi="Arial" w:cs="Arial"/>
          <w:sz w:val="20"/>
          <w:szCs w:val="20"/>
        </w:rPr>
        <w:t xml:space="preserve"> landscape. One of the most visible examples is Amazon Prime. The program launched as a way</w:t>
      </w:r>
      <w:r>
        <w:rPr>
          <w:rFonts w:ascii="Arial" w:hAnsi="Arial" w:cs="Arial"/>
          <w:sz w:val="20"/>
          <w:szCs w:val="20"/>
        </w:rPr>
        <w:t xml:space="preserve"> for consumers</w:t>
      </w:r>
      <w:r w:rsidRPr="001A52D7">
        <w:rPr>
          <w:rFonts w:ascii="Arial" w:hAnsi="Arial" w:cs="Arial"/>
          <w:sz w:val="20"/>
          <w:szCs w:val="20"/>
        </w:rPr>
        <w:t xml:space="preserve"> to get unlimited two-day shipping for fixed annual fee</w:t>
      </w:r>
      <w:r>
        <w:rPr>
          <w:rFonts w:ascii="Arial" w:hAnsi="Arial" w:cs="Arial"/>
          <w:sz w:val="20"/>
          <w:szCs w:val="20"/>
        </w:rPr>
        <w:t>, but</w:t>
      </w:r>
      <w:r w:rsidRPr="001A52D7">
        <w:rPr>
          <w:rFonts w:ascii="Arial" w:hAnsi="Arial" w:cs="Arial"/>
          <w:sz w:val="20"/>
          <w:szCs w:val="20"/>
        </w:rPr>
        <w:t xml:space="preserve"> has since morphed into a program full of so many benefits that it is both changing consumer perception of what value looks like</w:t>
      </w:r>
      <w:r w:rsidR="00C86280">
        <w:rPr>
          <w:rFonts w:ascii="Arial" w:hAnsi="Arial" w:cs="Arial"/>
          <w:sz w:val="20"/>
          <w:szCs w:val="20"/>
        </w:rPr>
        <w:t>,</w:t>
      </w:r>
      <w:r w:rsidRPr="001A52D7">
        <w:rPr>
          <w:rFonts w:ascii="Arial" w:hAnsi="Arial" w:cs="Arial"/>
          <w:sz w:val="20"/>
          <w:szCs w:val="20"/>
        </w:rPr>
        <w:t xml:space="preserve"> and leaving other retailers to figure out how to compete.</w:t>
      </w:r>
    </w:p>
    <w:p w:rsidR="001A52D7" w:rsidRDefault="001106D4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106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84B3AD5" wp14:editId="691CBFB0">
            <wp:simplePos x="0" y="0"/>
            <wp:positionH relativeFrom="column">
              <wp:posOffset>87630</wp:posOffset>
            </wp:positionH>
            <wp:positionV relativeFrom="paragraph">
              <wp:posOffset>1440180</wp:posOffset>
            </wp:positionV>
            <wp:extent cx="2493010" cy="2527300"/>
            <wp:effectExtent l="0" t="0" r="21590" b="25400"/>
            <wp:wrapTight wrapText="bothSides">
              <wp:wrapPolygon edited="0">
                <wp:start x="0" y="0"/>
                <wp:lineTo x="0" y="21654"/>
                <wp:lineTo x="21622" y="21654"/>
                <wp:lineTo x="21622" y="0"/>
                <wp:lineTo x="0" y="0"/>
              </wp:wrapPolygon>
            </wp:wrapTight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D7" w:rsidRPr="001A52D7">
        <w:rPr>
          <w:rFonts w:ascii="Arial" w:hAnsi="Arial" w:cs="Arial"/>
          <w:sz w:val="20"/>
          <w:szCs w:val="20"/>
        </w:rPr>
        <w:t xml:space="preserve">New Millward Brown Digital research suggests that the percentage of Amazon traffic </w:t>
      </w:r>
      <w:r w:rsidR="001A52D7">
        <w:rPr>
          <w:rFonts w:ascii="Arial" w:hAnsi="Arial" w:cs="Arial"/>
          <w:sz w:val="20"/>
          <w:szCs w:val="20"/>
        </w:rPr>
        <w:t>from</w:t>
      </w:r>
      <w:r w:rsidR="001A52D7" w:rsidRPr="001A52D7">
        <w:rPr>
          <w:rFonts w:ascii="Arial" w:hAnsi="Arial" w:cs="Arial"/>
          <w:sz w:val="20"/>
          <w:szCs w:val="20"/>
        </w:rPr>
        <w:t xml:space="preserve"> Amazon Prime members has increased 300% in the last year. The increase in Amazon Prime membership means that an increasing amount of shoppers at other retailers are also Prime members. </w:t>
      </w:r>
      <w:r w:rsidR="001A52D7">
        <w:rPr>
          <w:rFonts w:ascii="Arial" w:hAnsi="Arial" w:cs="Arial"/>
          <w:sz w:val="20"/>
          <w:szCs w:val="20"/>
        </w:rPr>
        <w:t>For example, d</w:t>
      </w:r>
      <w:r w:rsidR="001A52D7" w:rsidRPr="001A52D7">
        <w:rPr>
          <w:rFonts w:ascii="Arial" w:hAnsi="Arial" w:cs="Arial"/>
          <w:sz w:val="20"/>
          <w:szCs w:val="20"/>
        </w:rPr>
        <w:t xml:space="preserve">uring the most recent holiday season, almost 1 in 10 Walmart.com shoppers was an Amazon Prime member. </w:t>
      </w:r>
    </w:p>
    <w:p w:rsidR="001A52D7" w:rsidRP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1106D4" w:rsidRDefault="001106D4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CA2EF" wp14:editId="6B238749">
                <wp:simplePos x="0" y="0"/>
                <wp:positionH relativeFrom="column">
                  <wp:posOffset>-2660650</wp:posOffset>
                </wp:positionH>
                <wp:positionV relativeFrom="paragraph">
                  <wp:posOffset>175260</wp:posOffset>
                </wp:positionV>
                <wp:extent cx="2522855" cy="2082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80" w:rsidRPr="00372C7F" w:rsidRDefault="00C86280" w:rsidP="00C86280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372C7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The Compete Panel: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>Q4 2013, Q4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9.5pt;margin-top:13.8pt;width:198.65pt;height:16.4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t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xFCUxUKzAFgVJlLj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" filled="f" stroked="f">
                <v:textbox style="mso-fit-shape-to-text:t">
                  <w:txbxContent>
                    <w:p w:rsidR="00C86280" w:rsidRPr="00372C7F" w:rsidRDefault="00C86280" w:rsidP="00C86280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</w:pPr>
                      <w:r w:rsidRPr="00372C7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The Compete Panel: </w:t>
                      </w: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>Q4 2013, Q4 2014</w:t>
                      </w:r>
                    </w:p>
                  </w:txbxContent>
                </v:textbox>
              </v:shape>
            </w:pict>
          </mc:Fallback>
        </mc:AlternateContent>
      </w: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1A52D7" w:rsidRP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A52D7">
        <w:rPr>
          <w:rFonts w:ascii="Arial" w:hAnsi="Arial" w:cs="Arial"/>
          <w:sz w:val="20"/>
          <w:szCs w:val="20"/>
        </w:rPr>
        <w:t>Many retailers are in an admitted state of trying to catch up when it comes to e</w:t>
      </w:r>
      <w:r>
        <w:rPr>
          <w:rFonts w:ascii="Arial" w:hAnsi="Arial" w:cs="Arial"/>
          <w:sz w:val="20"/>
          <w:szCs w:val="20"/>
        </w:rPr>
        <w:t>c</w:t>
      </w:r>
      <w:r w:rsidRPr="001A52D7">
        <w:rPr>
          <w:rFonts w:ascii="Arial" w:hAnsi="Arial" w:cs="Arial"/>
          <w:sz w:val="20"/>
          <w:szCs w:val="20"/>
        </w:rPr>
        <w:t xml:space="preserve">ommerce. Just last </w:t>
      </w:r>
      <w:r w:rsidRPr="001A52D7">
        <w:rPr>
          <w:rFonts w:ascii="Arial" w:hAnsi="Arial" w:cs="Arial"/>
          <w:sz w:val="20"/>
          <w:szCs w:val="20"/>
        </w:rPr>
        <w:lastRenderedPageBreak/>
        <w:t xml:space="preserve">week, Target’s CEO announced that it would invest significantly in the next three years to improve </w:t>
      </w:r>
      <w:r w:rsidR="006E396E">
        <w:rPr>
          <w:rFonts w:ascii="Arial" w:hAnsi="Arial" w:cs="Arial"/>
          <w:sz w:val="20"/>
          <w:szCs w:val="20"/>
        </w:rPr>
        <w:t>its</w:t>
      </w:r>
      <w:r w:rsidR="006E396E" w:rsidRPr="001A52D7">
        <w:rPr>
          <w:rFonts w:ascii="Arial" w:hAnsi="Arial" w:cs="Arial"/>
          <w:sz w:val="20"/>
          <w:szCs w:val="20"/>
        </w:rPr>
        <w:t xml:space="preserve"> </w:t>
      </w:r>
      <w:r w:rsidRPr="001A52D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Pr="001A52D7">
        <w:rPr>
          <w:rFonts w:ascii="Arial" w:hAnsi="Arial" w:cs="Arial"/>
          <w:sz w:val="20"/>
          <w:szCs w:val="20"/>
        </w:rPr>
        <w:t>ommerce experience.</w:t>
      </w:r>
    </w:p>
    <w:p w:rsid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A52D7">
        <w:rPr>
          <w:rFonts w:ascii="Arial" w:hAnsi="Arial" w:cs="Arial"/>
          <w:sz w:val="20"/>
          <w:szCs w:val="20"/>
        </w:rPr>
        <w:t>The immediate challenge for retailers not named Amazon is that Amazon Prime is causing members to consider a narrower set of retailers when shopping online. An analysis of Prime vs Non-Prime members</w:t>
      </w:r>
      <w:r w:rsidR="00C86280">
        <w:rPr>
          <w:rFonts w:ascii="Arial" w:hAnsi="Arial" w:cs="Arial"/>
          <w:sz w:val="20"/>
          <w:szCs w:val="20"/>
        </w:rPr>
        <w:t>’</w:t>
      </w:r>
      <w:r w:rsidRPr="001A52D7">
        <w:rPr>
          <w:rFonts w:ascii="Arial" w:hAnsi="Arial" w:cs="Arial"/>
          <w:sz w:val="20"/>
          <w:szCs w:val="20"/>
        </w:rPr>
        <w:t xml:space="preserve"> cross-shopping behaviors shows that less than 1% of Prime members are likely to consider </w:t>
      </w:r>
      <w:r w:rsidR="00C86280">
        <w:rPr>
          <w:rFonts w:ascii="Arial" w:hAnsi="Arial" w:cs="Arial"/>
          <w:sz w:val="20"/>
          <w:szCs w:val="20"/>
        </w:rPr>
        <w:t>any of the other</w:t>
      </w:r>
      <w:r w:rsidRPr="001A52D7">
        <w:rPr>
          <w:rFonts w:ascii="Arial" w:hAnsi="Arial" w:cs="Arial"/>
          <w:sz w:val="20"/>
          <w:szCs w:val="20"/>
        </w:rPr>
        <w:t xml:space="preserve"> most visited online reta</w:t>
      </w:r>
      <w:r w:rsidR="00C86280">
        <w:rPr>
          <w:rFonts w:ascii="Arial" w:hAnsi="Arial" w:cs="Arial"/>
          <w:sz w:val="20"/>
          <w:szCs w:val="20"/>
        </w:rPr>
        <w:t xml:space="preserve">ilers during the same session. </w:t>
      </w:r>
      <w:r w:rsidRPr="001A52D7">
        <w:rPr>
          <w:rFonts w:ascii="Arial" w:hAnsi="Arial" w:cs="Arial"/>
          <w:sz w:val="20"/>
          <w:szCs w:val="20"/>
        </w:rPr>
        <w:t>Take Target.com for example</w:t>
      </w:r>
      <w:r w:rsidR="00C86280">
        <w:rPr>
          <w:rFonts w:ascii="Arial" w:hAnsi="Arial" w:cs="Arial"/>
          <w:sz w:val="20"/>
          <w:szCs w:val="20"/>
        </w:rPr>
        <w:t>:</w:t>
      </w:r>
      <w:r w:rsidRPr="001A52D7">
        <w:rPr>
          <w:rFonts w:ascii="Arial" w:hAnsi="Arial" w:cs="Arial"/>
          <w:sz w:val="20"/>
          <w:szCs w:val="20"/>
        </w:rPr>
        <w:t xml:space="preserve"> a non-Prime member is </w:t>
      </w:r>
      <w:r w:rsidR="001106D4">
        <w:rPr>
          <w:rFonts w:ascii="Arial" w:hAnsi="Arial" w:cs="Arial"/>
          <w:sz w:val="20"/>
          <w:szCs w:val="20"/>
        </w:rPr>
        <w:t>8 times</w:t>
      </w:r>
      <w:r w:rsidR="001106D4" w:rsidRPr="001A52D7">
        <w:rPr>
          <w:rFonts w:ascii="Arial" w:hAnsi="Arial" w:cs="Arial"/>
          <w:sz w:val="20"/>
          <w:szCs w:val="20"/>
        </w:rPr>
        <w:t xml:space="preserve"> </w:t>
      </w:r>
      <w:r w:rsidRPr="001A52D7">
        <w:rPr>
          <w:rFonts w:ascii="Arial" w:hAnsi="Arial" w:cs="Arial"/>
          <w:sz w:val="20"/>
          <w:szCs w:val="20"/>
        </w:rPr>
        <w:t xml:space="preserve">more likely than a Prime member to cross-shop between Amazon and Target in the same session.  For retailers not named Amazon, this means fewer chances to influence the growing Amazon Prime segment – and heightened pressure to get the experience and value perception right.  </w:t>
      </w:r>
    </w:p>
    <w:p w:rsidR="001A52D7" w:rsidRPr="001A52D7" w:rsidRDefault="00056299" w:rsidP="001A52D7">
      <w:pPr>
        <w:spacing w:before="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8712F" wp14:editId="6C5AC0AF">
                <wp:simplePos x="0" y="0"/>
                <wp:positionH relativeFrom="column">
                  <wp:posOffset>-43815</wp:posOffset>
                </wp:positionH>
                <wp:positionV relativeFrom="paragraph">
                  <wp:posOffset>2135134</wp:posOffset>
                </wp:positionV>
                <wp:extent cx="2522855" cy="20828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299" w:rsidRPr="00372C7F" w:rsidRDefault="00056299" w:rsidP="00056299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372C7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The Compete Panel: </w:t>
                            </w:r>
                            <w:r w:rsidR="009A0F7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>January-December 2014</w:t>
                            </w:r>
                            <w:r w:rsidR="00C86280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3.45pt;margin-top:168.1pt;width:198.65pt;height:16.4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O/uA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" filled="f" stroked="f">
                <v:textbox style="mso-fit-shape-to-text:t">
                  <w:txbxContent>
                    <w:p w:rsidR="00056299" w:rsidRPr="00372C7F" w:rsidRDefault="00056299" w:rsidP="00056299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</w:pPr>
                      <w:r w:rsidRPr="00372C7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The Compete Panel: </w:t>
                      </w:r>
                      <w:r w:rsidR="009A0F7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>January-December 2014</w:t>
                      </w:r>
                      <w:r w:rsidR="00C86280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06D4" w:rsidRPr="001106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B67D83" wp14:editId="65F9CFE6">
            <wp:extent cx="3053751" cy="2096219"/>
            <wp:effectExtent l="0" t="0" r="13335" b="1841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1A52D7" w:rsidRP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A52D7">
        <w:rPr>
          <w:rFonts w:ascii="Arial" w:hAnsi="Arial" w:cs="Arial"/>
          <w:sz w:val="20"/>
          <w:szCs w:val="20"/>
        </w:rPr>
        <w:t>Amazon Prime’s conversion rate might be the most sober</w:t>
      </w:r>
      <w:r w:rsidR="00D82144">
        <w:rPr>
          <w:rFonts w:ascii="Arial" w:hAnsi="Arial" w:cs="Arial"/>
          <w:sz w:val="20"/>
          <w:szCs w:val="20"/>
        </w:rPr>
        <w:t xml:space="preserve">ing bit of news for retailers. </w:t>
      </w:r>
      <w:r w:rsidRPr="001A52D7">
        <w:rPr>
          <w:rFonts w:ascii="Arial" w:hAnsi="Arial" w:cs="Arial"/>
          <w:sz w:val="20"/>
          <w:szCs w:val="20"/>
        </w:rPr>
        <w:t xml:space="preserve">63% of Amazon Prime members convert on the site </w:t>
      </w:r>
      <w:r w:rsidR="00D82144">
        <w:rPr>
          <w:rFonts w:ascii="Arial" w:hAnsi="Arial" w:cs="Arial"/>
          <w:sz w:val="20"/>
          <w:szCs w:val="20"/>
        </w:rPr>
        <w:t>in the same shopping session –</w:t>
      </w:r>
      <w:r w:rsidRPr="001A52D7">
        <w:rPr>
          <w:rFonts w:ascii="Arial" w:hAnsi="Arial" w:cs="Arial"/>
          <w:sz w:val="20"/>
          <w:szCs w:val="20"/>
        </w:rPr>
        <w:t xml:space="preserve"> almos</w:t>
      </w:r>
      <w:r w:rsidR="00D82144">
        <w:rPr>
          <w:rFonts w:ascii="Arial" w:hAnsi="Arial" w:cs="Arial"/>
          <w:sz w:val="20"/>
          <w:szCs w:val="20"/>
        </w:rPr>
        <w:t>t 5 times</w:t>
      </w:r>
      <w:r w:rsidRPr="001A52D7">
        <w:rPr>
          <w:rFonts w:ascii="Arial" w:hAnsi="Arial" w:cs="Arial"/>
          <w:sz w:val="20"/>
          <w:szCs w:val="20"/>
        </w:rPr>
        <w:t xml:space="preserve"> the convers</w:t>
      </w:r>
      <w:r w:rsidR="00D82144">
        <w:rPr>
          <w:rFonts w:ascii="Arial" w:hAnsi="Arial" w:cs="Arial"/>
          <w:sz w:val="20"/>
          <w:szCs w:val="20"/>
        </w:rPr>
        <w:t xml:space="preserve">ion rate of non-Prime members. </w:t>
      </w:r>
      <w:r w:rsidRPr="001A52D7">
        <w:rPr>
          <w:rFonts w:ascii="Arial" w:hAnsi="Arial" w:cs="Arial"/>
          <w:sz w:val="20"/>
          <w:szCs w:val="20"/>
        </w:rPr>
        <w:t xml:space="preserve">There is no question that Amazon has found a way to attract (or maybe </w:t>
      </w:r>
      <w:r w:rsidR="00D82144">
        <w:rPr>
          <w:rFonts w:ascii="Arial" w:hAnsi="Arial" w:cs="Arial"/>
          <w:sz w:val="20"/>
          <w:szCs w:val="20"/>
        </w:rPr>
        <w:lastRenderedPageBreak/>
        <w:t>even</w:t>
      </w:r>
      <w:r w:rsidRPr="001A52D7">
        <w:rPr>
          <w:rFonts w:ascii="Arial" w:hAnsi="Arial" w:cs="Arial"/>
          <w:sz w:val="20"/>
          <w:szCs w:val="20"/>
        </w:rPr>
        <w:t xml:space="preserve"> create?) a segment of h</w:t>
      </w:r>
      <w:r w:rsidR="00D82144">
        <w:rPr>
          <w:rFonts w:ascii="Arial" w:hAnsi="Arial" w:cs="Arial"/>
          <w:sz w:val="20"/>
          <w:szCs w:val="20"/>
        </w:rPr>
        <w:t xml:space="preserve">eavy online buyers with Prime. </w:t>
      </w:r>
      <w:r w:rsidRPr="001A52D7">
        <w:rPr>
          <w:rFonts w:ascii="Arial" w:hAnsi="Arial" w:cs="Arial"/>
          <w:sz w:val="20"/>
          <w:szCs w:val="20"/>
        </w:rPr>
        <w:t xml:space="preserve">Amazon Prime members are certainly more frequent online buyers as evidenced by the Prime vs. Non-Prime member conversion rates across all of the top online retailers.  </w:t>
      </w:r>
    </w:p>
    <w:p w:rsidR="001A52D7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D3164" wp14:editId="150C9934">
                <wp:simplePos x="0" y="0"/>
                <wp:positionH relativeFrom="column">
                  <wp:posOffset>-2540</wp:posOffset>
                </wp:positionH>
                <wp:positionV relativeFrom="paragraph">
                  <wp:posOffset>2519680</wp:posOffset>
                </wp:positionV>
                <wp:extent cx="2522855" cy="2082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80" w:rsidRPr="00372C7F" w:rsidRDefault="00C86280" w:rsidP="00C86280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372C7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The Compete Panel: </w:t>
                            </w:r>
                            <w:r w:rsidR="009A0F7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>January – December 2014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2pt;margin-top:198.4pt;width:198.65pt;height:16.4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z5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" filled="f" stroked="f">
                <v:textbox style="mso-fit-shape-to-text:t">
                  <w:txbxContent>
                    <w:p w:rsidR="00C86280" w:rsidRPr="00372C7F" w:rsidRDefault="00C86280" w:rsidP="00C86280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</w:pPr>
                      <w:r w:rsidRPr="00372C7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The Compete Panel: </w:t>
                      </w:r>
                      <w:r w:rsidR="009A0F7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January – December </w:t>
                      </w:r>
                      <w:r w:rsidR="009A0F7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>2014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06D4" w:rsidRPr="001106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FEB520" wp14:editId="04777CCC">
            <wp:extent cx="2924355" cy="2458528"/>
            <wp:effectExtent l="0" t="0" r="9525" b="1841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6280" w:rsidRDefault="00C86280" w:rsidP="001A52D7">
      <w:pPr>
        <w:spacing w:before="60" w:after="240"/>
        <w:rPr>
          <w:rFonts w:ascii="Arial" w:hAnsi="Arial" w:cs="Arial"/>
          <w:sz w:val="20"/>
          <w:szCs w:val="20"/>
        </w:rPr>
      </w:pPr>
    </w:p>
    <w:p w:rsidR="001A52D7" w:rsidRP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A52D7">
        <w:rPr>
          <w:rFonts w:ascii="Arial" w:hAnsi="Arial" w:cs="Arial"/>
          <w:sz w:val="20"/>
          <w:szCs w:val="20"/>
        </w:rPr>
        <w:t>Retailers are experimenting with a variety of tactics to more e</w:t>
      </w:r>
      <w:r w:rsidR="00D82144">
        <w:rPr>
          <w:rFonts w:ascii="Arial" w:hAnsi="Arial" w:cs="Arial"/>
          <w:sz w:val="20"/>
          <w:szCs w:val="20"/>
        </w:rPr>
        <w:t>ffectively compete with Amazon.</w:t>
      </w:r>
      <w:r w:rsidRPr="001A52D7">
        <w:rPr>
          <w:rFonts w:ascii="Arial" w:hAnsi="Arial" w:cs="Arial"/>
          <w:sz w:val="20"/>
          <w:szCs w:val="20"/>
        </w:rPr>
        <w:t xml:space="preserve"> Best Buy and Staples are among the many retailers o</w:t>
      </w:r>
      <w:r w:rsidR="00D82144">
        <w:rPr>
          <w:rFonts w:ascii="Arial" w:hAnsi="Arial" w:cs="Arial"/>
          <w:sz w:val="20"/>
          <w:szCs w:val="20"/>
        </w:rPr>
        <w:t>ffering price match guarantees.</w:t>
      </w:r>
      <w:r w:rsidRPr="001A52D7">
        <w:rPr>
          <w:rFonts w:ascii="Arial" w:hAnsi="Arial" w:cs="Arial"/>
          <w:sz w:val="20"/>
          <w:szCs w:val="20"/>
        </w:rPr>
        <w:t xml:space="preserve"> Target has launched a subscription program to mimic Amazon Subscribe and Save.  </w:t>
      </w:r>
    </w:p>
    <w:p w:rsidR="001A52D7" w:rsidRPr="001A52D7" w:rsidRDefault="001A52D7" w:rsidP="001A52D7">
      <w:pPr>
        <w:spacing w:before="60" w:after="240"/>
        <w:rPr>
          <w:rFonts w:ascii="Arial" w:hAnsi="Arial" w:cs="Arial"/>
          <w:sz w:val="20"/>
          <w:szCs w:val="20"/>
        </w:rPr>
      </w:pPr>
      <w:r w:rsidRPr="001A52D7">
        <w:rPr>
          <w:rFonts w:ascii="Arial" w:hAnsi="Arial" w:cs="Arial"/>
          <w:sz w:val="20"/>
          <w:szCs w:val="20"/>
        </w:rPr>
        <w:t>Much attention has been placed on driving more awarene</w:t>
      </w:r>
      <w:r w:rsidR="00D82144">
        <w:rPr>
          <w:rFonts w:ascii="Arial" w:hAnsi="Arial" w:cs="Arial"/>
          <w:sz w:val="20"/>
          <w:szCs w:val="20"/>
        </w:rPr>
        <w:t xml:space="preserve">ss/traffic to retail.com sites. </w:t>
      </w:r>
      <w:r w:rsidRPr="001A52D7">
        <w:rPr>
          <w:rFonts w:ascii="Arial" w:hAnsi="Arial" w:cs="Arial"/>
          <w:sz w:val="20"/>
          <w:szCs w:val="20"/>
        </w:rPr>
        <w:t xml:space="preserve">The reality is that retailers need to </w:t>
      </w:r>
      <w:r w:rsidR="00D82144">
        <w:rPr>
          <w:rFonts w:ascii="Arial" w:hAnsi="Arial" w:cs="Arial"/>
          <w:sz w:val="20"/>
          <w:szCs w:val="20"/>
        </w:rPr>
        <w:t>do</w:t>
      </w:r>
      <w:r w:rsidRPr="001A52D7">
        <w:rPr>
          <w:rFonts w:ascii="Arial" w:hAnsi="Arial" w:cs="Arial"/>
          <w:sz w:val="20"/>
          <w:szCs w:val="20"/>
        </w:rPr>
        <w:t xml:space="preserve"> a better job removing purchase barriers and driv</w:t>
      </w:r>
      <w:r w:rsidR="00D82144">
        <w:rPr>
          <w:rFonts w:ascii="Arial" w:hAnsi="Arial" w:cs="Arial"/>
          <w:sz w:val="20"/>
          <w:szCs w:val="20"/>
        </w:rPr>
        <w:t xml:space="preserve">ing improved conversion rates. </w:t>
      </w:r>
      <w:r w:rsidRPr="001A52D7">
        <w:rPr>
          <w:rFonts w:ascii="Arial" w:hAnsi="Arial" w:cs="Arial"/>
          <w:sz w:val="20"/>
          <w:szCs w:val="20"/>
        </w:rPr>
        <w:t xml:space="preserve">Amazon Prime might just be one of the few programs that </w:t>
      </w:r>
      <w:proofErr w:type="gramStart"/>
      <w:r w:rsidRPr="001A52D7">
        <w:rPr>
          <w:rFonts w:ascii="Arial" w:hAnsi="Arial" w:cs="Arial"/>
          <w:sz w:val="20"/>
          <w:szCs w:val="20"/>
        </w:rPr>
        <w:t>has</w:t>
      </w:r>
      <w:proofErr w:type="gramEnd"/>
      <w:r w:rsidRPr="001A52D7">
        <w:rPr>
          <w:rFonts w:ascii="Arial" w:hAnsi="Arial" w:cs="Arial"/>
          <w:sz w:val="20"/>
          <w:szCs w:val="20"/>
        </w:rPr>
        <w:t xml:space="preserve"> fearlessly removed purchase barriers in favor of creating a great customer experience.</w:t>
      </w: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C86280" w:rsidP="00AA3275">
      <w:pPr>
        <w:spacing w:before="60" w:after="240"/>
        <w:rPr>
          <w:rFonts w:ascii="Georgia" w:hAnsi="Georgia" w:cs="Arial"/>
          <w:b/>
          <w:szCs w:val="20"/>
        </w:rPr>
      </w:pP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2FB6D" wp14:editId="65843E37">
                <wp:simplePos x="0" y="0"/>
                <wp:positionH relativeFrom="column">
                  <wp:posOffset>-2540</wp:posOffset>
                </wp:positionH>
                <wp:positionV relativeFrom="paragraph">
                  <wp:posOffset>271193</wp:posOffset>
                </wp:positionV>
                <wp:extent cx="6404610" cy="1024255"/>
                <wp:effectExtent l="0" t="0" r="0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7F" w:rsidRPr="009B327F" w:rsidRDefault="009B327F">
                            <w:pPr>
                              <w:rPr>
                                <w:rFonts w:ascii="Georgia" w:hAnsi="Georgia" w:cs="Arial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262626" w:themeColor="text1" w:themeTint="D9"/>
                                <w:sz w:val="20"/>
                              </w:rPr>
                              <w:t>Millward Brown Digital</w:t>
                            </w:r>
                          </w:p>
                          <w:p w:rsidR="00845A54" w:rsidRDefault="00557160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</w:pPr>
                            <w:r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Millward Brown Digital is the world’s leading digital </w:t>
                            </w:r>
                            <w:proofErr w:type="gramStart"/>
                            <w:r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expert in helping clients grow</w:t>
                            </w:r>
                            <w:proofErr w:type="gramEnd"/>
                            <w:r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great brands. 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The clickstream data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in this original research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is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sourced from the Compete panel: a 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2 million member panel of US Internet users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. The data is collected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using a sophisticated multi-source approach</w:t>
                            </w:r>
                            <w:r w:rsidR="00845A5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, allowing it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="00845A5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to account for any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="00845A5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potential bias in a</w:t>
                            </w:r>
                            <w:r w:rsidR="00845A54"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single source. The raw data is transformed into a single panel and normalized by employing algorithms and advanced analytics techniques, so that the final projections are representative of the Internet behavior of the population.</w:t>
                            </w:r>
                            <w:r w:rsidR="00845A54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</w:p>
                          <w:p w:rsidR="00DF1CD2" w:rsidRPr="00364CE1" w:rsidRDefault="0082626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4CE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</w:rPr>
                              <w:t>For more information, contact us at</w:t>
                            </w:r>
                            <w:r w:rsidRPr="00364CE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hyperlink r:id="rId17" w:history="1">
                              <w:r w:rsidRPr="00364CE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digitalsolutions@millwardbrown.com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2pt;margin-top:21.35pt;width:504.3pt;height:8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" stroked="f">
                <v:textbox style="mso-fit-shape-to-text:t">
                  <w:txbxContent>
                    <w:p w:rsidR="009B327F" w:rsidRPr="009B327F" w:rsidRDefault="009B327F">
                      <w:pPr>
                        <w:rPr>
                          <w:rFonts w:ascii="Georgia" w:hAnsi="Georgia" w:cs="Arial"/>
                          <w:b/>
                          <w:color w:val="262626" w:themeColor="text1" w:themeTint="D9"/>
                          <w:sz w:val="20"/>
                        </w:rPr>
                      </w:pPr>
                      <w:proofErr w:type="spellStart"/>
                      <w:r>
                        <w:rPr>
                          <w:rFonts w:ascii="Georgia" w:hAnsi="Georgia" w:cs="Arial"/>
                          <w:b/>
                          <w:color w:val="262626" w:themeColor="text1" w:themeTint="D9"/>
                          <w:sz w:val="20"/>
                        </w:rPr>
                        <w:t>Millward</w:t>
                      </w:r>
                      <w:proofErr w:type="spellEnd"/>
                      <w:r>
                        <w:rPr>
                          <w:rFonts w:ascii="Georgia" w:hAnsi="Georgia" w:cs="Arial"/>
                          <w:b/>
                          <w:color w:val="262626" w:themeColor="text1" w:themeTint="D9"/>
                          <w:sz w:val="20"/>
                        </w:rPr>
                        <w:t xml:space="preserve"> Brown Digital</w:t>
                      </w:r>
                    </w:p>
                    <w:p w:rsidR="00845A54" w:rsidRDefault="00557160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</w:pPr>
                      <w:proofErr w:type="spellStart"/>
                      <w:r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Millward</w:t>
                      </w:r>
                      <w:proofErr w:type="spellEnd"/>
                      <w:r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Brown Digital is the world’s leading digital </w:t>
                      </w:r>
                      <w:proofErr w:type="gramStart"/>
                      <w:r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expert in helping clients grow</w:t>
                      </w:r>
                      <w:proofErr w:type="gramEnd"/>
                      <w:r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great brands. 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The clickstream data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in this original research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is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sourced from the Compete panel: a 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2 million member panel of US Internet users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. The data is collected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using a sophisticated multi-source approach</w:t>
                      </w:r>
                      <w:r w:rsidR="00845A54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, allowing it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="00845A54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to account for any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="00845A54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potential bias in a</w:t>
                      </w:r>
                      <w:r w:rsidR="00845A54"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single source. The raw data is transformed into a single panel and normalized by employing algorithms and advanced analytics techniques, so that the final projections are representative of the Internet behavior of the population.</w:t>
                      </w:r>
                      <w:r w:rsidR="00845A54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 xml:space="preserve"> </w:t>
                      </w:r>
                    </w:p>
                    <w:p w:rsidR="00DF1CD2" w:rsidRPr="00364CE1" w:rsidRDefault="0082626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64CE1">
                        <w:rPr>
                          <w:rFonts w:ascii="Arial" w:hAnsi="Arial" w:cs="Arial"/>
                          <w:color w:val="262626" w:themeColor="text1" w:themeTint="D9"/>
                          <w:sz w:val="18"/>
                        </w:rPr>
                        <w:t>For more information, contact us at</w:t>
                      </w:r>
                      <w:r w:rsidRPr="00364CE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hyperlink r:id="rId18" w:history="1">
                        <w:r w:rsidRPr="00364CE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digitalsolutions@millwardbrown.com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5E30E2" w:rsidRDefault="005E30E2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D22C1A" w:rsidRDefault="00D22C1A" w:rsidP="00AA3275">
      <w:pPr>
        <w:spacing w:before="60" w:after="240"/>
        <w:rPr>
          <w:rFonts w:ascii="Georgia" w:hAnsi="Georgia" w:cs="Arial"/>
          <w:b/>
          <w:szCs w:val="20"/>
        </w:rPr>
      </w:pPr>
    </w:p>
    <w:p w:rsidR="003F2BC6" w:rsidRDefault="003F2BC6" w:rsidP="00FC2E5F">
      <w:pPr>
        <w:spacing w:before="60" w:after="240"/>
        <w:rPr>
          <w:rFonts w:ascii="Arial" w:hAnsi="Arial" w:cs="Arial"/>
          <w:sz w:val="20"/>
          <w:szCs w:val="20"/>
        </w:rPr>
      </w:pPr>
    </w:p>
    <w:p w:rsidR="003F2BC6" w:rsidRDefault="003F2BC6" w:rsidP="00FC2E5F">
      <w:pPr>
        <w:spacing w:before="60" w:after="240"/>
        <w:rPr>
          <w:rFonts w:ascii="Arial" w:hAnsi="Arial" w:cs="Arial"/>
          <w:sz w:val="20"/>
          <w:szCs w:val="20"/>
        </w:rPr>
      </w:pPr>
    </w:p>
    <w:p w:rsidR="003F2BC6" w:rsidRDefault="003F2BC6" w:rsidP="00FC2E5F">
      <w:pPr>
        <w:spacing w:before="60" w:after="240"/>
        <w:rPr>
          <w:rFonts w:ascii="Arial" w:hAnsi="Arial" w:cs="Arial"/>
          <w:sz w:val="20"/>
          <w:szCs w:val="20"/>
        </w:rPr>
      </w:pPr>
    </w:p>
    <w:p w:rsidR="00AA3275" w:rsidRDefault="00AA3275" w:rsidP="00FC2E5F">
      <w:pPr>
        <w:spacing w:before="60" w:after="240"/>
        <w:rPr>
          <w:rFonts w:ascii="Arial" w:hAnsi="Arial" w:cs="Arial"/>
          <w:sz w:val="20"/>
          <w:szCs w:val="20"/>
        </w:rPr>
      </w:pPr>
    </w:p>
    <w:p w:rsidR="00230D74" w:rsidRPr="00230D74" w:rsidRDefault="00230D74" w:rsidP="0025664E">
      <w:pPr>
        <w:spacing w:before="60" w:after="240"/>
        <w:rPr>
          <w:rFonts w:ascii="Georgia" w:hAnsi="Georgia" w:cs="Arial"/>
          <w:color w:val="262626" w:themeColor="text1" w:themeTint="D9"/>
          <w:sz w:val="44"/>
          <w:szCs w:val="44"/>
        </w:rPr>
      </w:pPr>
    </w:p>
    <w:sectPr w:rsidR="00230D74" w:rsidRPr="00230D74" w:rsidSect="00C839D0">
      <w:type w:val="continuous"/>
      <w:pgSz w:w="12240" w:h="15840"/>
      <w:pgMar w:top="2016" w:right="1152" w:bottom="1440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88" w:rsidRDefault="00454088" w:rsidP="00D15EDF">
      <w:r>
        <w:separator/>
      </w:r>
    </w:p>
  </w:endnote>
  <w:endnote w:type="continuationSeparator" w:id="0">
    <w:p w:rsidR="00454088" w:rsidRDefault="00454088" w:rsidP="00D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4F" w:rsidRDefault="00907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74" w:rsidRDefault="00BE46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9A2A0A" wp14:editId="434BAFA1">
              <wp:simplePos x="0" y="0"/>
              <wp:positionH relativeFrom="column">
                <wp:posOffset>-913765</wp:posOffset>
              </wp:positionH>
              <wp:positionV relativeFrom="paragraph">
                <wp:posOffset>86995</wp:posOffset>
              </wp:positionV>
              <wp:extent cx="8001000" cy="548640"/>
              <wp:effectExtent l="0" t="0" r="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5486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6A8012"/>
                          </a:gs>
                          <a:gs pos="100000">
                            <a:srgbClr val="A2AD00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0D74" w:rsidRPr="005C2EE6" w:rsidRDefault="00230D74" w:rsidP="005C2EE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</w:pPr>
                          <w:r w:rsidRPr="005C2EE6"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  <w:t>www.millwardbrowndigital</w:t>
                          </w:r>
                          <w:r w:rsidR="001A52D7"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  <w:t>.com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                     501 Boylston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Street 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Suite 6101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•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Boston, MA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02116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</w:t>
                          </w:r>
                          <w:r w:rsidRPr="005C2EE6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617.933.560</w:t>
                          </w:r>
                          <w:r w:rsidR="0090794F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-71.95pt;margin-top:6.85pt;width:630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" fillcolor="#6a8012" stroked="f">
              <v:fill color2="#a2ad00" rotate="t" angle="180" focus="100%" type="gradient">
                <o:fill v:ext="view" type="gradientUnscaled"/>
              </v:fill>
              <v:path arrowok="t"/>
              <v:textbox>
                <w:txbxContent>
                  <w:p w:rsidR="00230D74" w:rsidRPr="005C2EE6" w:rsidRDefault="00230D74" w:rsidP="005C2EE6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</w:rPr>
                    </w:pPr>
                    <w:r w:rsidRPr="005C2EE6">
                      <w:rPr>
                        <w:rFonts w:ascii="Arial Narrow" w:hAnsi="Arial Narrow"/>
                        <w:b/>
                        <w:color w:val="FFFFFF" w:themeColor="background1"/>
                      </w:rPr>
                      <w:t>www.millwardbrowndigital</w:t>
                    </w:r>
                    <w:r w:rsidR="001A52D7">
                      <w:rPr>
                        <w:rFonts w:ascii="Arial Narrow" w:hAnsi="Arial Narrow"/>
                        <w:b/>
                        <w:color w:val="FFFFFF" w:themeColor="background1"/>
                      </w:rPr>
                      <w:t>.com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                     501 Boylston </w:t>
                    </w:r>
                    <w:proofErr w:type="gramStart"/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Street 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>•</w:t>
                    </w:r>
                    <w:proofErr w:type="gramEnd"/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 xml:space="preserve">Suite 6101 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>•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 xml:space="preserve">Boston, MA 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>02116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 xml:space="preserve">• 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</w:t>
                    </w:r>
                    <w:r w:rsidRPr="005C2EE6">
                      <w:rPr>
                        <w:rFonts w:ascii="Arial Narrow" w:hAnsi="Arial Narrow"/>
                        <w:color w:val="FFFFFF" w:themeColor="background1"/>
                      </w:rPr>
                      <w:t>617.933.560</w:t>
                    </w:r>
                    <w:r w:rsidR="0090794F">
                      <w:rPr>
                        <w:rFonts w:ascii="Arial Narrow" w:hAnsi="Arial Narrow"/>
                        <w:color w:val="FFFFFF" w:themeColor="background1"/>
                      </w:rPr>
                      <w:t>0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4F" w:rsidRDefault="00907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88" w:rsidRDefault="00454088" w:rsidP="00D15EDF">
      <w:r>
        <w:separator/>
      </w:r>
    </w:p>
  </w:footnote>
  <w:footnote w:type="continuationSeparator" w:id="0">
    <w:p w:rsidR="00454088" w:rsidRDefault="00454088" w:rsidP="00D1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4F" w:rsidRDefault="00907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74" w:rsidRDefault="00230D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C252C2" wp14:editId="0DEDD663">
          <wp:simplePos x="0" y="0"/>
          <wp:positionH relativeFrom="column">
            <wp:posOffset>4572000</wp:posOffset>
          </wp:positionH>
          <wp:positionV relativeFrom="paragraph">
            <wp:posOffset>-234315</wp:posOffset>
          </wp:positionV>
          <wp:extent cx="2138680" cy="51562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_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6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65BBE" wp14:editId="3E3A88AD">
              <wp:simplePos x="0" y="0"/>
              <wp:positionH relativeFrom="column">
                <wp:posOffset>-913765</wp:posOffset>
              </wp:positionH>
              <wp:positionV relativeFrom="paragraph">
                <wp:posOffset>-456565</wp:posOffset>
              </wp:positionV>
              <wp:extent cx="8001000" cy="914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.95pt;margin-top:-35.95pt;width:63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" fillcolor="#f2f2f2 [3052]" stroked="f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4F" w:rsidRDefault="00907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F"/>
    <w:rsid w:val="0004612F"/>
    <w:rsid w:val="00056299"/>
    <w:rsid w:val="00082EC4"/>
    <w:rsid w:val="000C6606"/>
    <w:rsid w:val="000D626E"/>
    <w:rsid w:val="001066F2"/>
    <w:rsid w:val="001106D4"/>
    <w:rsid w:val="00115793"/>
    <w:rsid w:val="001A52D7"/>
    <w:rsid w:val="001A69DF"/>
    <w:rsid w:val="00230D74"/>
    <w:rsid w:val="0025664E"/>
    <w:rsid w:val="002859E8"/>
    <w:rsid w:val="00332FCB"/>
    <w:rsid w:val="00364CE1"/>
    <w:rsid w:val="00372C7F"/>
    <w:rsid w:val="00386FBF"/>
    <w:rsid w:val="003F2BC6"/>
    <w:rsid w:val="00454088"/>
    <w:rsid w:val="00483778"/>
    <w:rsid w:val="00501518"/>
    <w:rsid w:val="00505373"/>
    <w:rsid w:val="0050644A"/>
    <w:rsid w:val="00531F8B"/>
    <w:rsid w:val="00557160"/>
    <w:rsid w:val="005B27C3"/>
    <w:rsid w:val="005C2EE6"/>
    <w:rsid w:val="005E30E2"/>
    <w:rsid w:val="005F4C45"/>
    <w:rsid w:val="006424BF"/>
    <w:rsid w:val="0064315F"/>
    <w:rsid w:val="006613FE"/>
    <w:rsid w:val="00667C23"/>
    <w:rsid w:val="006B4BFF"/>
    <w:rsid w:val="006E24D1"/>
    <w:rsid w:val="006E396E"/>
    <w:rsid w:val="00704FA8"/>
    <w:rsid w:val="007266A8"/>
    <w:rsid w:val="007400A6"/>
    <w:rsid w:val="00765AB3"/>
    <w:rsid w:val="00826267"/>
    <w:rsid w:val="00845A54"/>
    <w:rsid w:val="008D7432"/>
    <w:rsid w:val="009043BE"/>
    <w:rsid w:val="0090794F"/>
    <w:rsid w:val="009103D5"/>
    <w:rsid w:val="009165C9"/>
    <w:rsid w:val="00920512"/>
    <w:rsid w:val="00944334"/>
    <w:rsid w:val="009A0F76"/>
    <w:rsid w:val="009A4536"/>
    <w:rsid w:val="009A6299"/>
    <w:rsid w:val="009B327F"/>
    <w:rsid w:val="009F5D6B"/>
    <w:rsid w:val="00A14E49"/>
    <w:rsid w:val="00A21201"/>
    <w:rsid w:val="00A759CF"/>
    <w:rsid w:val="00A80EDA"/>
    <w:rsid w:val="00AA3275"/>
    <w:rsid w:val="00AD7B69"/>
    <w:rsid w:val="00AF1CA2"/>
    <w:rsid w:val="00AF51A6"/>
    <w:rsid w:val="00B40CFD"/>
    <w:rsid w:val="00B41067"/>
    <w:rsid w:val="00B86E03"/>
    <w:rsid w:val="00BE1CD2"/>
    <w:rsid w:val="00BE460F"/>
    <w:rsid w:val="00BE6C18"/>
    <w:rsid w:val="00C56A25"/>
    <w:rsid w:val="00C61B82"/>
    <w:rsid w:val="00C839D0"/>
    <w:rsid w:val="00C85F18"/>
    <w:rsid w:val="00C86280"/>
    <w:rsid w:val="00C953D4"/>
    <w:rsid w:val="00CB015D"/>
    <w:rsid w:val="00CD47D2"/>
    <w:rsid w:val="00CF1DDF"/>
    <w:rsid w:val="00D15EDF"/>
    <w:rsid w:val="00D22C1A"/>
    <w:rsid w:val="00D82144"/>
    <w:rsid w:val="00DB300D"/>
    <w:rsid w:val="00DC3FEF"/>
    <w:rsid w:val="00DE7275"/>
    <w:rsid w:val="00DF1CD2"/>
    <w:rsid w:val="00E01AAD"/>
    <w:rsid w:val="00E8659B"/>
    <w:rsid w:val="00E8739A"/>
    <w:rsid w:val="00EB14EF"/>
    <w:rsid w:val="00EF36E5"/>
    <w:rsid w:val="00FA4288"/>
    <w:rsid w:val="00FA6BEC"/>
    <w:rsid w:val="00FC2E5F"/>
    <w:rsid w:val="00FE61C0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EDF"/>
  </w:style>
  <w:style w:type="paragraph" w:styleId="Footer">
    <w:name w:val="footer"/>
    <w:basedOn w:val="Normal"/>
    <w:link w:val="FooterChar"/>
    <w:uiPriority w:val="99"/>
    <w:unhideWhenUsed/>
    <w:rsid w:val="00D1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EDF"/>
  </w:style>
  <w:style w:type="character" w:styleId="Hyperlink">
    <w:name w:val="Hyperlink"/>
    <w:basedOn w:val="DefaultParagraphFont"/>
    <w:uiPriority w:val="99"/>
    <w:unhideWhenUsed/>
    <w:rsid w:val="005C2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EDF"/>
  </w:style>
  <w:style w:type="paragraph" w:styleId="Footer">
    <w:name w:val="footer"/>
    <w:basedOn w:val="Normal"/>
    <w:link w:val="FooterChar"/>
    <w:uiPriority w:val="99"/>
    <w:unhideWhenUsed/>
    <w:rsid w:val="00D1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EDF"/>
  </w:style>
  <w:style w:type="character" w:styleId="Hyperlink">
    <w:name w:val="Hyperlink"/>
    <w:basedOn w:val="DefaultParagraphFont"/>
    <w:uiPriority w:val="99"/>
    <w:unhideWhenUsed/>
    <w:rsid w:val="005C2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igitalsolutions@millwardbrow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igitalsolutions@millwardbrown.com" TargetMode="Externa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/>
            </a:pPr>
            <a:r>
              <a:rPr lang="en-US" sz="1000"/>
              <a:t>Percent of Prime Member Penetration at Retailers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Sheet3!$V$24</c:f>
              <c:strCache>
                <c:ptCount val="1"/>
                <c:pt idx="0">
                  <c:v>Q4 2014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Sheet3!$A$25:$A$30</c:f>
              <c:strCache>
                <c:ptCount val="6"/>
                <c:pt idx="0">
                  <c:v>BestBuy.com</c:v>
                </c:pt>
                <c:pt idx="1">
                  <c:v>HomeDepot.com</c:v>
                </c:pt>
                <c:pt idx="2">
                  <c:v>Lowes.com</c:v>
                </c:pt>
                <c:pt idx="3">
                  <c:v>Target.com</c:v>
                </c:pt>
                <c:pt idx="4">
                  <c:v>ToysRUs.com</c:v>
                </c:pt>
                <c:pt idx="5">
                  <c:v>Walmart.com</c:v>
                </c:pt>
              </c:strCache>
            </c:strRef>
          </c:cat>
          <c:val>
            <c:numRef>
              <c:f>Sheet3!$V$25:$V$30</c:f>
              <c:numCache>
                <c:formatCode>0%</c:formatCode>
                <c:ptCount val="6"/>
                <c:pt idx="0">
                  <c:v>4.943945757085829E-2</c:v>
                </c:pt>
                <c:pt idx="1">
                  <c:v>8.1865376585008615E-2</c:v>
                </c:pt>
                <c:pt idx="2">
                  <c:v>6.9501512837547672E-2</c:v>
                </c:pt>
                <c:pt idx="3">
                  <c:v>7.0091899564033291E-2</c:v>
                </c:pt>
                <c:pt idx="4">
                  <c:v>7.9961447247110976E-2</c:v>
                </c:pt>
                <c:pt idx="5">
                  <c:v>7.9253182726989987E-2</c:v>
                </c:pt>
              </c:numCache>
            </c:numRef>
          </c:val>
        </c:ser>
        <c:ser>
          <c:idx val="0"/>
          <c:order val="1"/>
          <c:tx>
            <c:strRef>
              <c:f>Sheet3!$R$24</c:f>
              <c:strCache>
                <c:ptCount val="1"/>
                <c:pt idx="0">
                  <c:v>Q4 2013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Sheet3!$A$25:$A$30</c:f>
              <c:strCache>
                <c:ptCount val="6"/>
                <c:pt idx="0">
                  <c:v>BestBuy.com</c:v>
                </c:pt>
                <c:pt idx="1">
                  <c:v>HomeDepot.com</c:v>
                </c:pt>
                <c:pt idx="2">
                  <c:v>Lowes.com</c:v>
                </c:pt>
                <c:pt idx="3">
                  <c:v>Target.com</c:v>
                </c:pt>
                <c:pt idx="4">
                  <c:v>ToysRUs.com</c:v>
                </c:pt>
                <c:pt idx="5">
                  <c:v>Walmart.com</c:v>
                </c:pt>
              </c:strCache>
            </c:strRef>
          </c:cat>
          <c:val>
            <c:numRef>
              <c:f>Sheet3!$R$25:$R$30</c:f>
              <c:numCache>
                <c:formatCode>0%</c:formatCode>
                <c:ptCount val="6"/>
                <c:pt idx="0">
                  <c:v>1.2861412422779391E-2</c:v>
                </c:pt>
                <c:pt idx="1">
                  <c:v>1.7694032052639627E-2</c:v>
                </c:pt>
                <c:pt idx="2">
                  <c:v>1.4754500792028807E-2</c:v>
                </c:pt>
                <c:pt idx="3">
                  <c:v>1.5008664320966416E-2</c:v>
                </c:pt>
                <c:pt idx="4">
                  <c:v>1.5714762750897501E-2</c:v>
                </c:pt>
                <c:pt idx="5">
                  <c:v>1.7987459588054786E-2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16"/>
        <c:axId val="40490112"/>
        <c:axId val="40491648"/>
      </c:barChart>
      <c:catAx>
        <c:axId val="40490112"/>
        <c:scaling>
          <c:orientation val="maxMin"/>
        </c:scaling>
        <c:delete val="0"/>
        <c:axPos val="l"/>
        <c:majorTickMark val="out"/>
        <c:minorTickMark val="none"/>
        <c:tickLblPos val="nextTo"/>
        <c:crossAx val="40491648"/>
        <c:crosses val="autoZero"/>
        <c:auto val="1"/>
        <c:lblAlgn val="ctr"/>
        <c:lblOffset val="100"/>
        <c:noMultiLvlLbl val="0"/>
      </c:catAx>
      <c:valAx>
        <c:axId val="4049164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404901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Cross Shop Rate from Amazon to Retailers</a:t>
            </a:r>
          </a:p>
          <a:p>
            <a:pPr>
              <a:defRPr sz="1000"/>
            </a:pPr>
            <a:r>
              <a:rPr lang="en-US" sz="800"/>
              <a:t>(Same Session, Prime vs Non-Prime Members)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'PR vs NP cross shop'!$A$4</c:f>
              <c:strCache>
                <c:ptCount val="1"/>
                <c:pt idx="0">
                  <c:v>Non-Prime Members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 vs NP cross shop'!$B$2:$G$2</c:f>
              <c:strCache>
                <c:ptCount val="6"/>
                <c:pt idx="0">
                  <c:v>Walmart.com</c:v>
                </c:pt>
                <c:pt idx="1">
                  <c:v>Target.com</c:v>
                </c:pt>
                <c:pt idx="2">
                  <c:v>BestBuy.com</c:v>
                </c:pt>
                <c:pt idx="3">
                  <c:v>HomeDepot.com</c:v>
                </c:pt>
                <c:pt idx="4">
                  <c:v>Lowes.com</c:v>
                </c:pt>
                <c:pt idx="5">
                  <c:v>ToysRUs.com</c:v>
                </c:pt>
              </c:strCache>
            </c:strRef>
          </c:cat>
          <c:val>
            <c:numRef>
              <c:f>'PR vs NP cross shop'!$B$4:$G$4</c:f>
              <c:numCache>
                <c:formatCode>0%</c:formatCode>
                <c:ptCount val="6"/>
                <c:pt idx="0">
                  <c:v>0.1213417588511676</c:v>
                </c:pt>
                <c:pt idx="1">
                  <c:v>7.5574449863781618E-2</c:v>
                </c:pt>
                <c:pt idx="2">
                  <c:v>5.230202059913247E-2</c:v>
                </c:pt>
                <c:pt idx="3">
                  <c:v>3.8624051982584222E-2</c:v>
                </c:pt>
                <c:pt idx="4">
                  <c:v>2.6448616689584425E-2</c:v>
                </c:pt>
                <c:pt idx="5">
                  <c:v>1.7587512273628082E-2</c:v>
                </c:pt>
              </c:numCache>
            </c:numRef>
          </c:val>
        </c:ser>
        <c:ser>
          <c:idx val="0"/>
          <c:order val="1"/>
          <c:tx>
            <c:strRef>
              <c:f>'PR vs NP cross shop'!$A$3</c:f>
              <c:strCache>
                <c:ptCount val="1"/>
                <c:pt idx="0">
                  <c:v>Prime Members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 vs NP cross shop'!$B$2:$G$2</c:f>
              <c:strCache>
                <c:ptCount val="6"/>
                <c:pt idx="0">
                  <c:v>Walmart.com</c:v>
                </c:pt>
                <c:pt idx="1">
                  <c:v>Target.com</c:v>
                </c:pt>
                <c:pt idx="2">
                  <c:v>BestBuy.com</c:v>
                </c:pt>
                <c:pt idx="3">
                  <c:v>HomeDepot.com</c:v>
                </c:pt>
                <c:pt idx="4">
                  <c:v>Lowes.com</c:v>
                </c:pt>
                <c:pt idx="5">
                  <c:v>ToysRUs.com</c:v>
                </c:pt>
              </c:strCache>
            </c:strRef>
          </c:cat>
          <c:val>
            <c:numRef>
              <c:f>'PR vs NP cross shop'!$B$3:$G$3</c:f>
              <c:numCache>
                <c:formatCode>0.0%</c:formatCode>
                <c:ptCount val="6"/>
                <c:pt idx="0">
                  <c:v>8.6094841793558884E-3</c:v>
                </c:pt>
                <c:pt idx="1">
                  <c:v>6.7759638612357453E-3</c:v>
                </c:pt>
                <c:pt idx="2">
                  <c:v>5.8148692588309136E-3</c:v>
                </c:pt>
                <c:pt idx="3">
                  <c:v>4.532765514443711E-3</c:v>
                </c:pt>
                <c:pt idx="4">
                  <c:v>2.889337369000882E-3</c:v>
                </c:pt>
                <c:pt idx="5">
                  <c:v>1.8479856651297337E-3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overlap val="-26"/>
        <c:axId val="41711104"/>
        <c:axId val="41712640"/>
      </c:barChart>
      <c:catAx>
        <c:axId val="4171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41712640"/>
        <c:crosses val="autoZero"/>
        <c:auto val="1"/>
        <c:lblAlgn val="ctr"/>
        <c:lblOffset val="100"/>
        <c:noMultiLvlLbl val="0"/>
      </c:catAx>
      <c:valAx>
        <c:axId val="417126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1711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2628032274505669"/>
          <c:y val="0.20001102185854988"/>
          <c:w val="0.54108892175362588"/>
          <c:h val="7.205220180810731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Conversion Rate, Prime vs Non-Prime Members</a:t>
            </a:r>
          </a:p>
          <a:p>
            <a:pPr>
              <a:defRPr sz="1000"/>
            </a:pPr>
            <a:r>
              <a:rPr lang="en-US" sz="800"/>
              <a:t>(Same Session, on Amazon vs Competitor Retailers)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'Conversion trends'!$A$31</c:f>
              <c:strCache>
                <c:ptCount val="1"/>
                <c:pt idx="0">
                  <c:v>Prime Members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'Conversion trends'!$B$30:$H$30</c:f>
              <c:strCache>
                <c:ptCount val="7"/>
                <c:pt idx="0">
                  <c:v>Amazon.com</c:v>
                </c:pt>
                <c:pt idx="1">
                  <c:v>Walmart.com</c:v>
                </c:pt>
                <c:pt idx="2">
                  <c:v>Target.com</c:v>
                </c:pt>
                <c:pt idx="3">
                  <c:v>BestBuy.com</c:v>
                </c:pt>
                <c:pt idx="4">
                  <c:v>HomeDepot.com</c:v>
                </c:pt>
                <c:pt idx="5">
                  <c:v>ToysRUs.com</c:v>
                </c:pt>
                <c:pt idx="6">
                  <c:v>Lowes.com</c:v>
                </c:pt>
              </c:strCache>
            </c:strRef>
          </c:cat>
          <c:val>
            <c:numRef>
              <c:f>'Conversion trends'!$B$31:$H$31</c:f>
              <c:numCache>
                <c:formatCode>0%</c:formatCode>
                <c:ptCount val="7"/>
                <c:pt idx="0">
                  <c:v>0.63070055660632163</c:v>
                </c:pt>
                <c:pt idx="1">
                  <c:v>6.3190760400449256E-2</c:v>
                </c:pt>
                <c:pt idx="2">
                  <c:v>5.6658191122057645E-2</c:v>
                </c:pt>
                <c:pt idx="3">
                  <c:v>5.0601155389593352E-2</c:v>
                </c:pt>
                <c:pt idx="4">
                  <c:v>3.2369172661422113E-2</c:v>
                </c:pt>
                <c:pt idx="5">
                  <c:v>6.8663420492803967E-2</c:v>
                </c:pt>
                <c:pt idx="6">
                  <c:v>3.3592864596343357E-2</c:v>
                </c:pt>
              </c:numCache>
            </c:numRef>
          </c:val>
        </c:ser>
        <c:ser>
          <c:idx val="1"/>
          <c:order val="1"/>
          <c:tx>
            <c:strRef>
              <c:f>'Conversion trends'!$A$32</c:f>
              <c:strCache>
                <c:ptCount val="1"/>
                <c:pt idx="0">
                  <c:v>Non-Prime Members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'Conversion trends'!$B$30:$H$30</c:f>
              <c:strCache>
                <c:ptCount val="7"/>
                <c:pt idx="0">
                  <c:v>Amazon.com</c:v>
                </c:pt>
                <c:pt idx="1">
                  <c:v>Walmart.com</c:v>
                </c:pt>
                <c:pt idx="2">
                  <c:v>Target.com</c:v>
                </c:pt>
                <c:pt idx="3">
                  <c:v>BestBuy.com</c:v>
                </c:pt>
                <c:pt idx="4">
                  <c:v>HomeDepot.com</c:v>
                </c:pt>
                <c:pt idx="5">
                  <c:v>ToysRUs.com</c:v>
                </c:pt>
                <c:pt idx="6">
                  <c:v>Lowes.com</c:v>
                </c:pt>
              </c:strCache>
            </c:strRef>
          </c:cat>
          <c:val>
            <c:numRef>
              <c:f>'Conversion trends'!$B$32:$H$32</c:f>
              <c:numCache>
                <c:formatCode>0%</c:formatCode>
                <c:ptCount val="7"/>
                <c:pt idx="0">
                  <c:v>0.13011892940216194</c:v>
                </c:pt>
                <c:pt idx="1">
                  <c:v>4.5541397833210082E-2</c:v>
                </c:pt>
                <c:pt idx="2">
                  <c:v>2.3093355474090332E-2</c:v>
                </c:pt>
                <c:pt idx="3">
                  <c:v>2.5700817732603132E-2</c:v>
                </c:pt>
                <c:pt idx="4">
                  <c:v>1.6790995157247475E-2</c:v>
                </c:pt>
                <c:pt idx="5">
                  <c:v>4.7883747987392804E-2</c:v>
                </c:pt>
                <c:pt idx="6">
                  <c:v>1.3259086874731919E-2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6"/>
        <c:axId val="41772160"/>
        <c:axId val="41773696"/>
      </c:barChart>
      <c:catAx>
        <c:axId val="41772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1773696"/>
        <c:crosses val="autoZero"/>
        <c:auto val="1"/>
        <c:lblAlgn val="ctr"/>
        <c:lblOffset val="100"/>
        <c:noMultiLvlLbl val="0"/>
      </c:catAx>
      <c:valAx>
        <c:axId val="417736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41772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612818895106785"/>
          <c:y val="0.28485589391741944"/>
          <c:w val="0.58907006844244292"/>
          <c:h val="6.722721316185882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MB Colors">
    <a:dk1>
      <a:srgbClr val="000000"/>
    </a:dk1>
    <a:lt1>
      <a:sysClr val="window" lastClr="FFFFFF"/>
    </a:lt1>
    <a:dk2>
      <a:srgbClr val="FDB924"/>
    </a:dk2>
    <a:lt2>
      <a:srgbClr val="EC881D"/>
    </a:lt2>
    <a:accent1>
      <a:srgbClr val="B2BB1E"/>
    </a:accent1>
    <a:accent2>
      <a:srgbClr val="6D8D24"/>
    </a:accent2>
    <a:accent3>
      <a:srgbClr val="5091CD"/>
    </a:accent3>
    <a:accent4>
      <a:srgbClr val="19398A"/>
    </a:accent4>
    <a:accent5>
      <a:srgbClr val="C2D1D4"/>
    </a:accent5>
    <a:accent6>
      <a:srgbClr val="537177"/>
    </a:accent6>
    <a:hlink>
      <a:srgbClr val="DBD8BD"/>
    </a:hlink>
    <a:folHlink>
      <a:srgbClr val="847E47"/>
    </a:folHlink>
  </a:clrScheme>
  <a:fontScheme name="Millward Brown">
    <a:majorFont>
      <a:latin typeface="Georgia"/>
      <a:ea typeface=""/>
      <a:cs typeface=""/>
    </a:majorFont>
    <a:minorFont>
      <a:latin typeface="Arial Narrow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B Colors">
    <a:dk1>
      <a:srgbClr val="000000"/>
    </a:dk1>
    <a:lt1>
      <a:sysClr val="window" lastClr="FFFFFF"/>
    </a:lt1>
    <a:dk2>
      <a:srgbClr val="FDB924"/>
    </a:dk2>
    <a:lt2>
      <a:srgbClr val="EC881D"/>
    </a:lt2>
    <a:accent1>
      <a:srgbClr val="B2BB1E"/>
    </a:accent1>
    <a:accent2>
      <a:srgbClr val="6D8D24"/>
    </a:accent2>
    <a:accent3>
      <a:srgbClr val="5091CD"/>
    </a:accent3>
    <a:accent4>
      <a:srgbClr val="19398A"/>
    </a:accent4>
    <a:accent5>
      <a:srgbClr val="C2D1D4"/>
    </a:accent5>
    <a:accent6>
      <a:srgbClr val="537177"/>
    </a:accent6>
    <a:hlink>
      <a:srgbClr val="DBD8BD"/>
    </a:hlink>
    <a:folHlink>
      <a:srgbClr val="847E47"/>
    </a:folHlink>
  </a:clrScheme>
  <a:fontScheme name="Millward Brown">
    <a:majorFont>
      <a:latin typeface="Georgia"/>
      <a:ea typeface=""/>
      <a:cs typeface=""/>
    </a:majorFont>
    <a:minorFont>
      <a:latin typeface="Arial Narrow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B Colors">
    <a:dk1>
      <a:srgbClr val="000000"/>
    </a:dk1>
    <a:lt1>
      <a:sysClr val="window" lastClr="FFFFFF"/>
    </a:lt1>
    <a:dk2>
      <a:srgbClr val="FDB924"/>
    </a:dk2>
    <a:lt2>
      <a:srgbClr val="EC881D"/>
    </a:lt2>
    <a:accent1>
      <a:srgbClr val="B2BB1E"/>
    </a:accent1>
    <a:accent2>
      <a:srgbClr val="6D8D24"/>
    </a:accent2>
    <a:accent3>
      <a:srgbClr val="5091CD"/>
    </a:accent3>
    <a:accent4>
      <a:srgbClr val="19398A"/>
    </a:accent4>
    <a:accent5>
      <a:srgbClr val="C2D1D4"/>
    </a:accent5>
    <a:accent6>
      <a:srgbClr val="537177"/>
    </a:accent6>
    <a:hlink>
      <a:srgbClr val="DBD8BD"/>
    </a:hlink>
    <a:folHlink>
      <a:srgbClr val="847E47"/>
    </a:folHlink>
  </a:clrScheme>
  <a:fontScheme name="Millward Brown">
    <a:majorFont>
      <a:latin typeface="Georgia"/>
      <a:ea typeface=""/>
      <a:cs typeface=""/>
    </a:majorFont>
    <a:minorFont>
      <a:latin typeface="Arial Narrow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BAE5-E55C-4139-B8C0-FC466E12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Millward Brown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Teng</dc:creator>
  <cp:lastModifiedBy>Aaron Peterson</cp:lastModifiedBy>
  <cp:revision>3</cp:revision>
  <cp:lastPrinted>2014-11-12T16:53:00Z</cp:lastPrinted>
  <dcterms:created xsi:type="dcterms:W3CDTF">2015-03-18T16:52:00Z</dcterms:created>
  <dcterms:modified xsi:type="dcterms:W3CDTF">2015-04-07T17:13:00Z</dcterms:modified>
</cp:coreProperties>
</file>