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2A" w:rsidRPr="008457B0" w:rsidRDefault="005F4909" w:rsidP="00BB072A">
      <w:pPr>
        <w:pStyle w:val="Header"/>
        <w:jc w:val="right"/>
        <w:rPr>
          <w:rFonts w:asciiTheme="minorHAnsi" w:hAnsiTheme="minorHAnsi" w:cs="Arial"/>
          <w:sz w:val="20"/>
          <w:szCs w:val="20"/>
        </w:rPr>
      </w:pPr>
      <w:r w:rsidRPr="008457B0">
        <w:rPr>
          <w:rFonts w:asciiTheme="minorHAnsi" w:hAnsiTheme="minorHAnsi"/>
          <w:noProof/>
          <w:sz w:val="20"/>
          <w:szCs w:val="20"/>
          <w:lang w:val="en-GB" w:eastAsia="en-GB"/>
        </w:rPr>
        <w:drawing>
          <wp:inline distT="0" distB="0" distL="0" distR="0" wp14:anchorId="53E79737" wp14:editId="76A0F0DE">
            <wp:extent cx="2207260" cy="279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813314" w:rsidRPr="008457B0" w:rsidRDefault="00813314">
      <w:pPr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73889" w:rsidRPr="008457B0" w:rsidTr="00FF56A3">
        <w:trPr>
          <w:cantSplit/>
          <w:trHeight w:val="347"/>
        </w:trPr>
        <w:tc>
          <w:tcPr>
            <w:tcW w:w="9923" w:type="dxa"/>
            <w:shd w:val="pct10" w:color="auto" w:fill="auto"/>
          </w:tcPr>
          <w:p w:rsidR="00B73889" w:rsidRPr="008457B0" w:rsidRDefault="00B73889" w:rsidP="00B73889">
            <w:pPr>
              <w:tabs>
                <w:tab w:val="right" w:pos="8982"/>
              </w:tabs>
              <w:ind w:left="357" w:hanging="35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7B0">
              <w:rPr>
                <w:rFonts w:asciiTheme="minorHAnsi" w:hAnsiTheme="minorHAnsi" w:cs="Calibri"/>
                <w:b/>
                <w:sz w:val="20"/>
                <w:szCs w:val="20"/>
              </w:rPr>
              <w:t xml:space="preserve">PART 1: ROLE DESCRIPTION </w:t>
            </w:r>
            <w:r w:rsidRPr="008457B0">
              <w:rPr>
                <w:rFonts w:asciiTheme="minorHAnsi" w:hAnsiTheme="minorHAnsi" w:cs="Calibri"/>
                <w:b/>
                <w:sz w:val="20"/>
                <w:szCs w:val="20"/>
              </w:rPr>
              <w:tab/>
            </w:r>
          </w:p>
        </w:tc>
      </w:tr>
    </w:tbl>
    <w:p w:rsidR="00B73889" w:rsidRPr="008457B0" w:rsidRDefault="00B73889" w:rsidP="00B73889">
      <w:pPr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8"/>
        <w:gridCol w:w="4831"/>
      </w:tblGrid>
      <w:tr w:rsidR="009C7578" w:rsidRPr="008457B0" w:rsidTr="009C7578">
        <w:trPr>
          <w:cantSplit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FC" w:rsidRPr="008457B0" w:rsidRDefault="009C7578" w:rsidP="008457B0">
            <w:pPr>
              <w:pStyle w:val="Heading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57B0">
              <w:rPr>
                <w:rFonts w:asciiTheme="minorHAnsi" w:hAnsiTheme="minorHAnsi" w:cs="Calibri"/>
                <w:b w:val="0"/>
                <w:color w:val="000000"/>
                <w:sz w:val="20"/>
                <w:szCs w:val="20"/>
              </w:rPr>
              <w:t xml:space="preserve">ROLE TITLE: </w:t>
            </w:r>
            <w:r w:rsidR="008457B0" w:rsidRPr="008457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Senior </w:t>
            </w:r>
            <w:r w:rsidR="005F6466">
              <w:rPr>
                <w:rFonts w:asciiTheme="minorHAnsi" w:hAnsiTheme="minorHAnsi"/>
                <w:color w:val="000000"/>
                <w:sz w:val="20"/>
                <w:szCs w:val="20"/>
              </w:rPr>
              <w:t>Partnerships</w:t>
            </w:r>
            <w:r w:rsidR="008457B0" w:rsidRPr="008457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Manager</w:t>
            </w:r>
            <w:r w:rsidR="00B53B7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(Utilities &amp; Telco)</w:t>
            </w:r>
          </w:p>
          <w:p w:rsidR="008457B0" w:rsidRPr="008457B0" w:rsidRDefault="008457B0" w:rsidP="008457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89" w:rsidRPr="008457B0">
        <w:trPr>
          <w:cantSplit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9" w:rsidRPr="008457B0" w:rsidRDefault="00B73889" w:rsidP="00B73889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457B0">
              <w:rPr>
                <w:rFonts w:asciiTheme="minorHAnsi" w:hAnsiTheme="minorHAnsi" w:cs="Calibri"/>
                <w:color w:val="000000"/>
                <w:sz w:val="20"/>
                <w:szCs w:val="20"/>
              </w:rPr>
              <w:t>REPORTING TO:</w:t>
            </w:r>
            <w:r w:rsidR="00D66E6C" w:rsidRPr="008457B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="008457B0" w:rsidRPr="008457B0">
              <w:rPr>
                <w:rFonts w:asciiTheme="minorHAnsi" w:hAnsiTheme="minorHAnsi"/>
                <w:color w:val="000000"/>
                <w:sz w:val="20"/>
                <w:szCs w:val="20"/>
              </w:rPr>
              <w:t>Head of Commercial</w:t>
            </w:r>
            <w:r w:rsidR="005F64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&amp; Performance</w:t>
            </w:r>
          </w:p>
          <w:p w:rsidR="009C7578" w:rsidRPr="008457B0" w:rsidRDefault="009C7578" w:rsidP="00B73889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1D" w:rsidRPr="008457B0" w:rsidRDefault="006E496A" w:rsidP="00976DB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457B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DIRECT REPORTS: </w:t>
            </w:r>
            <w:r w:rsidR="005F6466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  <w:p w:rsidR="0069671D" w:rsidRPr="008457B0" w:rsidRDefault="0069671D" w:rsidP="00976DB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B73889" w:rsidRPr="008457B0">
        <w:trPr>
          <w:cantSplit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9" w:rsidRPr="008457B0" w:rsidRDefault="00E34A5B" w:rsidP="00B7388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57B0">
              <w:rPr>
                <w:rFonts w:asciiTheme="minorHAnsi" w:hAnsiTheme="minorHAnsi" w:cs="Calibri"/>
                <w:color w:val="000000"/>
                <w:sz w:val="20"/>
                <w:szCs w:val="20"/>
              </w:rPr>
              <w:t>DEPT/SECTION:</w:t>
            </w:r>
            <w:r w:rsidR="007A7A9D" w:rsidRPr="008457B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="008457B0" w:rsidRPr="008457B0">
              <w:rPr>
                <w:rFonts w:asciiTheme="minorHAnsi" w:hAnsiTheme="minorHAnsi"/>
                <w:color w:val="000000"/>
                <w:sz w:val="20"/>
                <w:szCs w:val="20"/>
              </w:rPr>
              <w:t>Commercial</w:t>
            </w:r>
            <w:r w:rsidR="005F64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&amp; Performance</w:t>
            </w:r>
          </w:p>
          <w:p w:rsidR="00E34A5B" w:rsidRPr="008457B0" w:rsidRDefault="00E34A5B" w:rsidP="00B73889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FC" w:rsidRPr="008457B0" w:rsidRDefault="00B73889" w:rsidP="00B73889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457B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TEAM SIZE TOTAL: </w:t>
            </w:r>
            <w:r w:rsidR="005F6466">
              <w:rPr>
                <w:rFonts w:asciiTheme="minorHAnsi" w:hAnsiTheme="minorHAnsi" w:cs="Calibri"/>
                <w:color w:val="000000"/>
                <w:sz w:val="20"/>
                <w:szCs w:val="20"/>
              </w:rPr>
              <w:t>8</w:t>
            </w:r>
          </w:p>
        </w:tc>
      </w:tr>
      <w:tr w:rsidR="00B73889" w:rsidRPr="008457B0">
        <w:trPr>
          <w:trHeight w:val="1945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A3" w:rsidRDefault="00B73889" w:rsidP="008457B0">
            <w:pPr>
              <w:ind w:right="-108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8457B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OVERALL PURPOSE OF ROLE:</w:t>
            </w:r>
          </w:p>
          <w:p w:rsidR="00D14F9F" w:rsidRDefault="008457B0" w:rsidP="008457B0">
            <w:pPr>
              <w:pStyle w:val="ListBullet"/>
              <w:numPr>
                <w:ilvl w:val="0"/>
                <w:numId w:val="0"/>
              </w:numPr>
            </w:pPr>
            <w:r w:rsidRPr="008457B0">
              <w:t xml:space="preserve">This role </w:t>
            </w:r>
            <w:r w:rsidR="003D204E" w:rsidRPr="008457B0">
              <w:t>sit</w:t>
            </w:r>
            <w:r w:rsidRPr="008457B0">
              <w:t xml:space="preserve">s </w:t>
            </w:r>
            <w:r w:rsidR="003D204E" w:rsidRPr="008457B0">
              <w:t xml:space="preserve">within the </w:t>
            </w:r>
            <w:r w:rsidRPr="008457B0">
              <w:t>Commercial</w:t>
            </w:r>
            <w:r w:rsidR="003D204E" w:rsidRPr="008457B0">
              <w:t xml:space="preserve"> team</w:t>
            </w:r>
            <w:r w:rsidR="00777924" w:rsidRPr="008457B0">
              <w:t xml:space="preserve">, </w:t>
            </w:r>
            <w:r w:rsidR="001D6AB9">
              <w:t xml:space="preserve">working closely with </w:t>
            </w:r>
            <w:r w:rsidRPr="008457B0">
              <w:t>the Head of Commercial</w:t>
            </w:r>
            <w:r w:rsidR="005F6466">
              <w:t xml:space="preserve"> &amp; Performance</w:t>
            </w:r>
            <w:r w:rsidRPr="008457B0">
              <w:t xml:space="preserve"> to</w:t>
            </w:r>
            <w:r w:rsidR="00777924" w:rsidRPr="008457B0">
              <w:t xml:space="preserve"> set and execut</w:t>
            </w:r>
            <w:r w:rsidRPr="008457B0">
              <w:t>e</w:t>
            </w:r>
            <w:r w:rsidR="008E7C49">
              <w:t xml:space="preserve"> a 12-</w:t>
            </w:r>
            <w:r>
              <w:t xml:space="preserve">month </w:t>
            </w:r>
            <w:r w:rsidR="003D204E" w:rsidRPr="008457B0">
              <w:t>strategy to</w:t>
            </w:r>
            <w:r w:rsidRPr="008457B0">
              <w:t xml:space="preserve"> grow key strategic verticals and</w:t>
            </w:r>
            <w:r w:rsidR="0069671D" w:rsidRPr="008457B0">
              <w:t xml:space="preserve"> </w:t>
            </w:r>
            <w:r w:rsidR="003D204E" w:rsidRPr="008457B0">
              <w:t xml:space="preserve">drive </w:t>
            </w:r>
            <w:r w:rsidR="0069671D" w:rsidRPr="008457B0">
              <w:t>revenue</w:t>
            </w:r>
            <w:r w:rsidR="003D204E" w:rsidRPr="008457B0">
              <w:t xml:space="preserve"> </w:t>
            </w:r>
            <w:r w:rsidR="00777924" w:rsidRPr="008457B0">
              <w:t>growth</w:t>
            </w:r>
            <w:r w:rsidR="001D6AB9">
              <w:t xml:space="preserve"> across MSE as a whole</w:t>
            </w:r>
            <w:r w:rsidR="0069671D" w:rsidRPr="008457B0">
              <w:t>.</w:t>
            </w:r>
            <w:r w:rsidR="00777924" w:rsidRPr="008457B0">
              <w:t xml:space="preserve"> </w:t>
            </w:r>
            <w:r w:rsidR="008E7C49">
              <w:t xml:space="preserve">There will be </w:t>
            </w:r>
            <w:r w:rsidR="009667BF">
              <w:t xml:space="preserve">heavy focus on managing relationships within the </w:t>
            </w:r>
            <w:r w:rsidR="008E7C49">
              <w:rPr>
                <w:b/>
                <w:u w:val="single"/>
              </w:rPr>
              <w:t>e</w:t>
            </w:r>
            <w:r w:rsidR="001B0757">
              <w:rPr>
                <w:b/>
                <w:u w:val="single"/>
              </w:rPr>
              <w:t>nergy</w:t>
            </w:r>
            <w:r w:rsidR="009667BF">
              <w:t xml:space="preserve"> and </w:t>
            </w:r>
            <w:r w:rsidR="008E7C49">
              <w:rPr>
                <w:b/>
                <w:u w:val="single"/>
              </w:rPr>
              <w:t>t</w:t>
            </w:r>
            <w:r w:rsidR="001B0757">
              <w:rPr>
                <w:b/>
                <w:u w:val="single"/>
              </w:rPr>
              <w:t>e</w:t>
            </w:r>
            <w:r w:rsidR="008E7C49">
              <w:rPr>
                <w:b/>
                <w:u w:val="single"/>
              </w:rPr>
              <w:t>lecommunications (specifically broadband &amp; m</w:t>
            </w:r>
            <w:r w:rsidR="001B0757">
              <w:rPr>
                <w:b/>
                <w:u w:val="single"/>
              </w:rPr>
              <w:t>obile)</w:t>
            </w:r>
            <w:r w:rsidR="008E7C49">
              <w:t xml:space="preserve"> industries,</w:t>
            </w:r>
            <w:r w:rsidR="009667BF">
              <w:t xml:space="preserve"> </w:t>
            </w:r>
            <w:r w:rsidR="008E7C49">
              <w:t xml:space="preserve">and </w:t>
            </w:r>
            <w:r w:rsidR="009667BF">
              <w:t>working closely with affiliate networks, direct providers a</w:t>
            </w:r>
            <w:r w:rsidR="008E7C49">
              <w:t>nd colleagues in the MoneySuperm</w:t>
            </w:r>
            <w:r w:rsidR="00513341">
              <w:t xml:space="preserve">arket Group. </w:t>
            </w:r>
            <w:r w:rsidR="009667BF">
              <w:t>This is a great opportunity to work with a powerful brand that drives innovation and disruption in the market.</w:t>
            </w:r>
          </w:p>
          <w:p w:rsidR="005F6466" w:rsidRDefault="005F6466" w:rsidP="008457B0">
            <w:pPr>
              <w:pStyle w:val="ListBullet"/>
              <w:numPr>
                <w:ilvl w:val="0"/>
                <w:numId w:val="0"/>
              </w:numPr>
            </w:pPr>
          </w:p>
          <w:p w:rsidR="008457B0" w:rsidRPr="005F6466" w:rsidRDefault="005F6466" w:rsidP="008457B0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ABOUT MONEYSAVINGEXPERT.COM:</w:t>
            </w:r>
          </w:p>
          <w:p w:rsidR="005F6466" w:rsidRDefault="005F6466" w:rsidP="005F6466">
            <w:pPr>
              <w:pStyle w:val="ListBullet"/>
              <w:numPr>
                <w:ilvl w:val="0"/>
                <w:numId w:val="0"/>
              </w:numPr>
            </w:pPr>
            <w:r w:rsidRPr="008457B0">
              <w:t>MoneySavingExpert.com is one of the UK's largest consumer website</w:t>
            </w:r>
            <w:r w:rsidR="00513341">
              <w:t>s</w:t>
            </w:r>
            <w:r w:rsidRPr="008457B0">
              <w:t xml:space="preserve"> with </w:t>
            </w:r>
            <w:r w:rsidR="00242DA1">
              <w:t>about</w:t>
            </w:r>
            <w:r w:rsidRPr="008457B0">
              <w:t xml:space="preserve"> 1</w:t>
            </w:r>
            <w:r>
              <w:t>5</w:t>
            </w:r>
            <w:r w:rsidRPr="008457B0">
              <w:t xml:space="preserve"> million users a month. The site is dedicated to cutting your bills and fighting your corner with</w:t>
            </w:r>
            <w:r w:rsidR="005E0D5D">
              <w:t xml:space="preserve"> journalistic research, cutting-</w:t>
            </w:r>
            <w:r w:rsidRPr="008457B0">
              <w:t>edge tools &amp; a massive community – all focused on finding deals, saving cash &amp; campaigning for financial justice. In 2012 it became part of MoneySupermarket.com but continues to be managed as a separate entity.</w:t>
            </w:r>
          </w:p>
          <w:p w:rsidR="005F6466" w:rsidRPr="008457B0" w:rsidRDefault="005F6466" w:rsidP="008457B0">
            <w:pPr>
              <w:pStyle w:val="ListBullet"/>
              <w:numPr>
                <w:ilvl w:val="0"/>
                <w:numId w:val="0"/>
              </w:numPr>
            </w:pPr>
          </w:p>
          <w:p w:rsidR="00777924" w:rsidRPr="008457B0" w:rsidRDefault="00B53B7A" w:rsidP="008457B0">
            <w:pPr>
              <w:pStyle w:val="ListBullet"/>
              <w:numPr>
                <w:ilvl w:val="0"/>
                <w:numId w:val="0"/>
              </w:numPr>
            </w:pPr>
            <w:r>
              <w:t>At all times we adhere</w:t>
            </w:r>
            <w:r w:rsidR="00F86B7E" w:rsidRPr="008457B0">
              <w:t xml:space="preserve"> to MSE’s Editorial Code and principles – that </w:t>
            </w:r>
            <w:r>
              <w:t xml:space="preserve">means </w:t>
            </w:r>
            <w:r w:rsidR="00F86B7E" w:rsidRPr="008457B0">
              <w:t>any top deals, best buys, tips or suggestions on the main site are purely down to journalistic research and not commercially influenced.</w:t>
            </w:r>
          </w:p>
          <w:p w:rsidR="00B73889" w:rsidRPr="008457B0" w:rsidRDefault="00777924" w:rsidP="008457B0">
            <w:pPr>
              <w:pStyle w:val="ListBullet"/>
              <w:numPr>
                <w:ilvl w:val="0"/>
                <w:numId w:val="0"/>
              </w:numPr>
            </w:pPr>
            <w:r w:rsidRPr="008457B0">
              <w:t xml:space="preserve">  </w:t>
            </w:r>
          </w:p>
        </w:tc>
      </w:tr>
      <w:tr w:rsidR="00B73889" w:rsidRPr="008457B0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9" w:rsidRPr="008457B0" w:rsidRDefault="00B73889" w:rsidP="00B73889">
            <w:pPr>
              <w:ind w:right="-108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7B0">
              <w:rPr>
                <w:rFonts w:asciiTheme="minorHAnsi" w:hAnsiTheme="minorHAnsi" w:cs="Calibri"/>
                <w:b/>
                <w:sz w:val="20"/>
                <w:szCs w:val="20"/>
              </w:rPr>
              <w:t>MAIN ACTIVITIES/TASKS:</w:t>
            </w:r>
          </w:p>
          <w:p w:rsidR="008457B0" w:rsidRPr="008457B0" w:rsidRDefault="008457B0" w:rsidP="008457B0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  <w:p w:rsidR="00CB0FC7" w:rsidRDefault="00CB0FC7" w:rsidP="008457B0">
            <w:pPr>
              <w:pStyle w:val="BodyTex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Deputising for the Head of Commercial</w:t>
            </w:r>
            <w:r w:rsidR="009667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&amp; Performance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457B0" w:rsidRPr="008457B0" w:rsidRDefault="008457B0" w:rsidP="008457B0">
            <w:pPr>
              <w:pStyle w:val="BodyTex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57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Responsible for </w:t>
            </w:r>
            <w:r w:rsidR="005E0D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the partnership strategy while </w:t>
            </w:r>
            <w:r w:rsidRPr="008457B0">
              <w:rPr>
                <w:rFonts w:asciiTheme="minorHAnsi" w:hAnsiTheme="minorHAnsi"/>
                <w:color w:val="000000"/>
                <w:sz w:val="20"/>
                <w:szCs w:val="20"/>
              </w:rPr>
              <w:t>also acting as a point of contact for the wider group Commercial team</w:t>
            </w:r>
            <w:r w:rsidR="005E0D5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457B0" w:rsidRPr="008457B0" w:rsidRDefault="008457B0" w:rsidP="008457B0">
            <w:pPr>
              <w:pStyle w:val="BodyTex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57B0">
              <w:rPr>
                <w:rFonts w:asciiTheme="minorHAnsi" w:hAnsiTheme="minorHAnsi"/>
                <w:color w:val="000000"/>
                <w:sz w:val="20"/>
                <w:szCs w:val="20"/>
              </w:rPr>
              <w:t>In collaboration with partners</w:t>
            </w:r>
            <w:r w:rsidR="005E0D5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57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devise product launch plans for bespoke exclusive promotions which add incremental value.</w:t>
            </w:r>
          </w:p>
          <w:p w:rsidR="008457B0" w:rsidRPr="008457B0" w:rsidRDefault="008457B0" w:rsidP="008457B0">
            <w:pPr>
              <w:pStyle w:val="BodyTex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57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Devise a strategy to ensure </w:t>
            </w:r>
            <w:r w:rsidR="005E0D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we at </w:t>
            </w:r>
            <w:r w:rsidRPr="008457B0">
              <w:rPr>
                <w:rFonts w:asciiTheme="minorHAnsi" w:hAnsiTheme="minorHAnsi"/>
                <w:color w:val="000000"/>
                <w:sz w:val="20"/>
                <w:szCs w:val="20"/>
              </w:rPr>
              <w:t>MoneySavingExpert.com establish ourselves as becoming world class at sharing insight into user behaviour, market dynamics and product design.</w:t>
            </w:r>
            <w:r w:rsidR="007F7E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This may</w:t>
            </w:r>
            <w:r w:rsidRPr="008457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also involve working with the</w:t>
            </w:r>
            <w:r w:rsidR="007F7E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</w:t>
            </w:r>
            <w:r w:rsidRPr="008457B0">
              <w:rPr>
                <w:rFonts w:asciiTheme="minorHAnsi" w:hAnsiTheme="minorHAnsi"/>
                <w:color w:val="000000"/>
                <w:sz w:val="20"/>
                <w:szCs w:val="20"/>
              </w:rPr>
              <w:t>roup insight team to devise the commercial/insight strategy.</w:t>
            </w:r>
          </w:p>
          <w:p w:rsidR="008457B0" w:rsidRPr="008457B0" w:rsidRDefault="005E0D5D" w:rsidP="008457B0">
            <w:pPr>
              <w:numPr>
                <w:ilvl w:val="0"/>
                <w:numId w:val="41"/>
              </w:numPr>
              <w:spacing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Excellent relationship-</w:t>
            </w:r>
            <w:r w:rsidR="008457B0" w:rsidRPr="008457B0">
              <w:rPr>
                <w:rFonts w:asciiTheme="minorHAnsi" w:hAnsiTheme="minorHAnsi"/>
                <w:sz w:val="20"/>
                <w:szCs w:val="20"/>
              </w:rPr>
              <w:t xml:space="preserve">building skills which </w:t>
            </w:r>
            <w:r>
              <w:rPr>
                <w:rFonts w:asciiTheme="minorHAnsi" w:hAnsiTheme="minorHAnsi"/>
                <w:sz w:val="20"/>
                <w:szCs w:val="20"/>
              </w:rPr>
              <w:t>allows</w:t>
            </w:r>
            <w:r w:rsidR="008457B0" w:rsidRPr="008457B0">
              <w:rPr>
                <w:rFonts w:asciiTheme="minorHAnsi" w:hAnsiTheme="minorHAnsi"/>
                <w:sz w:val="20"/>
                <w:szCs w:val="20"/>
              </w:rPr>
              <w:t xml:space="preserve"> in-depth understanding of the partners</w:t>
            </w:r>
            <w:r w:rsidR="00972D6C">
              <w:rPr>
                <w:rFonts w:asciiTheme="minorHAnsi" w:hAnsiTheme="minorHAnsi"/>
                <w:sz w:val="20"/>
                <w:szCs w:val="20"/>
              </w:rPr>
              <w:t>’</w:t>
            </w:r>
            <w:r w:rsidR="008457B0" w:rsidRPr="008457B0">
              <w:rPr>
                <w:rFonts w:asciiTheme="minorHAnsi" w:hAnsiTheme="minorHAnsi"/>
                <w:sz w:val="20"/>
                <w:szCs w:val="20"/>
              </w:rPr>
              <w:t xml:space="preserve"> business.</w:t>
            </w:r>
          </w:p>
          <w:p w:rsidR="008457B0" w:rsidRPr="008457B0" w:rsidRDefault="008457B0" w:rsidP="008457B0">
            <w:pPr>
              <w:numPr>
                <w:ilvl w:val="0"/>
                <w:numId w:val="41"/>
              </w:numPr>
              <w:spacing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8457B0">
              <w:rPr>
                <w:rFonts w:asciiTheme="minorHAnsi" w:hAnsiTheme="minorHAnsi"/>
                <w:sz w:val="20"/>
                <w:szCs w:val="20"/>
              </w:rPr>
              <w:t>Sharing and collating market insight and intelligence about the future direction of key products/verticals as a market expert.</w:t>
            </w:r>
          </w:p>
          <w:p w:rsidR="008457B0" w:rsidRPr="008457B0" w:rsidRDefault="008457B0" w:rsidP="008457B0">
            <w:pPr>
              <w:numPr>
                <w:ilvl w:val="0"/>
                <w:numId w:val="41"/>
              </w:numPr>
              <w:spacing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8457B0">
              <w:rPr>
                <w:rFonts w:asciiTheme="minorHAnsi" w:hAnsiTheme="minorHAnsi"/>
                <w:sz w:val="20"/>
                <w:szCs w:val="20"/>
              </w:rPr>
              <w:t>Work closely with i</w:t>
            </w:r>
            <w:r w:rsidR="00972D6C">
              <w:rPr>
                <w:rFonts w:asciiTheme="minorHAnsi" w:hAnsiTheme="minorHAnsi"/>
                <w:sz w:val="20"/>
                <w:szCs w:val="20"/>
              </w:rPr>
              <w:t>nternal stakeholders on partner</w:t>
            </w:r>
            <w:r w:rsidRPr="008457B0">
              <w:rPr>
                <w:rFonts w:asciiTheme="minorHAnsi" w:hAnsiTheme="minorHAnsi"/>
                <w:sz w:val="20"/>
                <w:szCs w:val="20"/>
              </w:rPr>
              <w:t>s</w:t>
            </w:r>
            <w:r w:rsidR="00972D6C">
              <w:rPr>
                <w:rFonts w:asciiTheme="minorHAnsi" w:hAnsiTheme="minorHAnsi"/>
                <w:sz w:val="20"/>
                <w:szCs w:val="20"/>
              </w:rPr>
              <w:t>’</w:t>
            </w:r>
            <w:r w:rsidRPr="008457B0">
              <w:rPr>
                <w:rFonts w:asciiTheme="minorHAnsi" w:hAnsiTheme="minorHAnsi"/>
                <w:sz w:val="20"/>
                <w:szCs w:val="20"/>
              </w:rPr>
              <w:t xml:space="preserve"> feedback to help improve the accuracy and innovation of our own products for users –</w:t>
            </w:r>
            <w:r w:rsidR="001A03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457B0">
              <w:rPr>
                <w:rFonts w:asciiTheme="minorHAnsi" w:hAnsiTheme="minorHAnsi"/>
                <w:sz w:val="20"/>
                <w:szCs w:val="20"/>
              </w:rPr>
              <w:t xml:space="preserve">stakeholders include Editorial, Finance, Legal, group Commercial teams, NPD and Online Performance. </w:t>
            </w:r>
          </w:p>
          <w:p w:rsidR="008457B0" w:rsidRPr="008457B0" w:rsidRDefault="008457B0" w:rsidP="008457B0">
            <w:pPr>
              <w:numPr>
                <w:ilvl w:val="0"/>
                <w:numId w:val="41"/>
              </w:numPr>
              <w:spacing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8457B0">
              <w:rPr>
                <w:rFonts w:asciiTheme="minorHAnsi" w:hAnsiTheme="minorHAnsi"/>
                <w:sz w:val="20"/>
                <w:szCs w:val="20"/>
              </w:rPr>
              <w:t xml:space="preserve">Negotiate contractual and commercial terms with partners on channels to ensure that MSE </w:t>
            </w:r>
            <w:r w:rsidR="001A038F">
              <w:rPr>
                <w:rFonts w:asciiTheme="minorHAnsi" w:hAnsiTheme="minorHAnsi"/>
                <w:sz w:val="20"/>
                <w:szCs w:val="20"/>
              </w:rPr>
              <w:t>has</w:t>
            </w:r>
            <w:r w:rsidRPr="008457B0">
              <w:rPr>
                <w:rFonts w:asciiTheme="minorHAnsi" w:hAnsiTheme="minorHAnsi"/>
                <w:sz w:val="20"/>
                <w:szCs w:val="20"/>
              </w:rPr>
              <w:t xml:space="preserve"> competi</w:t>
            </w:r>
            <w:r w:rsidR="001A038F">
              <w:rPr>
                <w:rFonts w:asciiTheme="minorHAnsi" w:hAnsiTheme="minorHAnsi"/>
                <w:sz w:val="20"/>
                <w:szCs w:val="20"/>
              </w:rPr>
              <w:t>tive commercials in place while</w:t>
            </w:r>
            <w:r w:rsidRPr="008457B0">
              <w:rPr>
                <w:rFonts w:asciiTheme="minorHAnsi" w:hAnsiTheme="minorHAnsi"/>
                <w:sz w:val="20"/>
                <w:szCs w:val="20"/>
              </w:rPr>
              <w:t xml:space="preserve"> maintaining product availability for our users.</w:t>
            </w:r>
          </w:p>
          <w:p w:rsidR="00B73889" w:rsidRDefault="001D6AB9" w:rsidP="008457B0">
            <w:pPr>
              <w:numPr>
                <w:ilvl w:val="0"/>
                <w:numId w:val="41"/>
              </w:numPr>
              <w:spacing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Participate in</w:t>
            </w:r>
            <w:r w:rsidR="008457B0" w:rsidRPr="008457B0">
              <w:rPr>
                <w:rFonts w:asciiTheme="minorHAnsi" w:hAnsiTheme="minorHAnsi"/>
                <w:sz w:val="20"/>
                <w:szCs w:val="20"/>
              </w:rPr>
              <w:t xml:space="preserve"> commercial projects working with </w:t>
            </w:r>
            <w:r w:rsidR="00390D41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8457B0" w:rsidRPr="008457B0">
              <w:rPr>
                <w:rFonts w:asciiTheme="minorHAnsi" w:hAnsiTheme="minorHAnsi"/>
                <w:sz w:val="20"/>
                <w:szCs w:val="20"/>
              </w:rPr>
              <w:t>Finance team to drive great outcomes for MSE, users and partners.</w:t>
            </w:r>
          </w:p>
          <w:p w:rsidR="008457B0" w:rsidRPr="008457B0" w:rsidRDefault="008457B0" w:rsidP="008457B0">
            <w:pPr>
              <w:spacing w:line="240" w:lineRule="auto"/>
              <w:ind w:left="720"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4358" w:rsidRPr="008457B0">
        <w:trPr>
          <w:cantSplit/>
          <w:trHeight w:val="525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B9" w:rsidRPr="001D6AB9" w:rsidRDefault="008457B0" w:rsidP="001D6AB9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lastRenderedPageBreak/>
              <w:t>ACCOUNTABILTY/RESPONSIBILITY:</w:t>
            </w:r>
          </w:p>
          <w:p w:rsidR="008457B0" w:rsidRPr="008457B0" w:rsidRDefault="008457B0" w:rsidP="008457B0">
            <w:pPr>
              <w:pStyle w:val="ListBullet"/>
              <w:rPr>
                <w:lang w:val="en-GB" w:eastAsia="en-GB"/>
              </w:rPr>
            </w:pPr>
            <w:r w:rsidRPr="008457B0">
              <w:t>Driving the partnership strategy with key p</w:t>
            </w:r>
            <w:r w:rsidR="00B15DBA">
              <w:t>roviders to ensure that we step-</w:t>
            </w:r>
            <w:r w:rsidRPr="008457B0">
              <w:t xml:space="preserve">change MoneySavingExpert.com partnerships within the financial services, utilities, telecoms and retail industries to provide the best deals for our users and be the best partner for our providers. </w:t>
            </w:r>
          </w:p>
          <w:p w:rsidR="001D6AB9" w:rsidRDefault="008457B0" w:rsidP="001D6AB9">
            <w:pPr>
              <w:pStyle w:val="ListBullet"/>
              <w:rPr>
                <w:color w:val="auto"/>
                <w:lang w:val="en-GB" w:eastAsia="en-GB"/>
              </w:rPr>
            </w:pPr>
            <w:r w:rsidRPr="008457B0">
              <w:t>Creating personalised commercial strategies and proposition development to ensure we drive differentiated propositions for Mo</w:t>
            </w:r>
            <w:r w:rsidR="00B15DBA">
              <w:t>neySavingExpert.com users while</w:t>
            </w:r>
            <w:r w:rsidRPr="008457B0">
              <w:t xml:space="preserve"> driving incremental value to our key partners.</w:t>
            </w:r>
          </w:p>
          <w:p w:rsidR="001D6AB9" w:rsidRPr="001D6AB9" w:rsidRDefault="001D6AB9" w:rsidP="001D6AB9">
            <w:pPr>
              <w:pStyle w:val="ListBullet"/>
              <w:rPr>
                <w:color w:val="auto"/>
                <w:lang w:val="en-GB" w:eastAsia="en-GB"/>
              </w:rPr>
            </w:pPr>
            <w:r w:rsidRPr="008457B0">
              <w:t>Work closely with Finance and the Online Performance team to develop r</w:t>
            </w:r>
            <w:r w:rsidR="00B20DF5">
              <w:t>e</w:t>
            </w:r>
            <w:r w:rsidR="00902038">
              <w:t xml:space="preserve">ports and tracking of activity, and </w:t>
            </w:r>
            <w:r w:rsidR="00B20DF5">
              <w:t>create and test hypothesis, identifying trends, risks and opportunities.</w:t>
            </w:r>
          </w:p>
          <w:p w:rsidR="00FF4868" w:rsidRPr="001D6AB9" w:rsidRDefault="001D6AB9" w:rsidP="001D6AB9">
            <w:pPr>
              <w:pStyle w:val="ListBullet"/>
              <w:rPr>
                <w:color w:val="auto"/>
                <w:lang w:val="en-GB" w:eastAsia="en-GB"/>
              </w:rPr>
            </w:pPr>
            <w:r w:rsidRPr="008457B0">
              <w:t>Manage the Commercial Executive</w:t>
            </w:r>
            <w:r w:rsidR="00B20DF5">
              <w:t>s</w:t>
            </w:r>
            <w:r w:rsidRPr="008457B0">
              <w:t xml:space="preserve"> to ensure all revenue opportunities are utilised and regular audits of the site are conducted.</w:t>
            </w:r>
          </w:p>
          <w:p w:rsidR="008457B0" w:rsidRPr="008457B0" w:rsidRDefault="008457B0" w:rsidP="008457B0">
            <w:pPr>
              <w:pStyle w:val="ListBullet"/>
              <w:numPr>
                <w:ilvl w:val="0"/>
                <w:numId w:val="0"/>
              </w:numPr>
              <w:ind w:left="720"/>
            </w:pPr>
          </w:p>
        </w:tc>
      </w:tr>
      <w:tr w:rsidR="00B73889" w:rsidRPr="008457B0" w:rsidTr="00992AEF">
        <w:trPr>
          <w:cantSplit/>
          <w:trHeight w:val="836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7B" w:rsidRDefault="00A04A57" w:rsidP="008457B0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SPECIAL REQUIREMENTS:</w:t>
            </w:r>
          </w:p>
          <w:p w:rsidR="00992AEF" w:rsidRPr="008457B0" w:rsidRDefault="008457B0" w:rsidP="008457B0">
            <w:pPr>
              <w:pStyle w:val="ListBullet"/>
            </w:pPr>
            <w:r w:rsidRPr="008457B0">
              <w:t>In addition to the detail in this job description, employees are required to carry out such other duties as may reasonably be required from time to time, up to or at a level consistent with the responsibilities as listed above of the job and in any location with Moneysupermarket</w:t>
            </w:r>
            <w:r w:rsidRPr="008457B0">
              <w:rPr>
                <w:rFonts w:cs="Arial"/>
              </w:rPr>
              <w:t>.com Financial Group.</w:t>
            </w:r>
          </w:p>
          <w:p w:rsidR="008457B0" w:rsidRPr="008457B0" w:rsidRDefault="008457B0" w:rsidP="008457B0">
            <w:pPr>
              <w:pStyle w:val="ListBullet"/>
              <w:numPr>
                <w:ilvl w:val="0"/>
                <w:numId w:val="0"/>
              </w:numPr>
              <w:ind w:left="720"/>
            </w:pPr>
          </w:p>
        </w:tc>
      </w:tr>
      <w:tr w:rsidR="00B73889" w:rsidRPr="008457B0">
        <w:trPr>
          <w:cantSplit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21" w:rsidRPr="008457B0" w:rsidRDefault="00B73889" w:rsidP="00850F21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8457B0">
              <w:rPr>
                <w:rFonts w:asciiTheme="minorHAnsi" w:hAnsiTheme="minorHAnsi" w:cstheme="minorHAnsi"/>
                <w:b/>
                <w:sz w:val="20"/>
                <w:szCs w:val="20"/>
              </w:rPr>
              <w:t>PRIME ROLE LOCATION</w:t>
            </w:r>
            <w:r w:rsidR="00E34A5B" w:rsidRPr="008457B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E34A5B" w:rsidRPr="008457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42EA">
              <w:rPr>
                <w:rFonts w:asciiTheme="minorHAnsi" w:hAnsiTheme="minorHAnsi" w:cstheme="minorHAnsi"/>
                <w:sz w:val="20"/>
                <w:szCs w:val="20"/>
              </w:rPr>
              <w:t>MoneySavingE</w:t>
            </w:r>
            <w:r w:rsidR="007A7A9D" w:rsidRPr="008457B0">
              <w:rPr>
                <w:rFonts w:asciiTheme="minorHAnsi" w:hAnsiTheme="minorHAnsi" w:cstheme="minorHAnsi"/>
                <w:sz w:val="20"/>
                <w:szCs w:val="20"/>
              </w:rPr>
              <w:t xml:space="preserve">xpert.com Ltd, </w:t>
            </w:r>
            <w:r w:rsidR="00850F21" w:rsidRPr="008457B0">
              <w:rPr>
                <w:rFonts w:asciiTheme="minorHAnsi" w:hAnsiTheme="minorHAnsi" w:cstheme="minorHAnsi"/>
                <w:sz w:val="20"/>
                <w:szCs w:val="20"/>
              </w:rPr>
              <w:t>19-22 Rathbone Place, London W1T 1HY</w:t>
            </w:r>
            <w:r w:rsidR="00EE42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457B0" w:rsidRPr="00B20DF5" w:rsidRDefault="008457B0" w:rsidP="007A7A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457B0">
              <w:rPr>
                <w:rFonts w:asciiTheme="minorHAnsi" w:hAnsiTheme="minorHAnsi" w:cs="Arial"/>
                <w:sz w:val="20"/>
                <w:szCs w:val="20"/>
              </w:rPr>
              <w:t>Expected to travel for partner meetings and internal meetings including monthly to our group head office in Ewloe</w:t>
            </w:r>
            <w:r w:rsidR="00EE42E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73889" w:rsidRPr="008457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889" w:type="dxa"/>
            <w:gridSpan w:val="2"/>
            <w:shd w:val="pct10" w:color="auto" w:fill="auto"/>
          </w:tcPr>
          <w:p w:rsidR="00B73889" w:rsidRPr="008457B0" w:rsidRDefault="00B73889" w:rsidP="00B73889">
            <w:pPr>
              <w:ind w:left="357" w:hanging="35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7B0">
              <w:rPr>
                <w:rFonts w:asciiTheme="minorHAnsi" w:hAnsiTheme="minorHAnsi" w:cs="Calibri"/>
                <w:b/>
                <w:sz w:val="20"/>
                <w:szCs w:val="20"/>
              </w:rPr>
              <w:t>PART 2: ROLE REQUIREMENTS</w:t>
            </w:r>
          </w:p>
        </w:tc>
      </w:tr>
      <w:tr w:rsidR="00B73889" w:rsidRPr="008457B0">
        <w:trPr>
          <w:cantSplit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9" w:rsidRPr="008457B0" w:rsidRDefault="00B73889" w:rsidP="00B701AD">
            <w:pPr>
              <w:ind w:left="357" w:right="-108" w:hanging="35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7B0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REQUIRED KNOWLEDGE &amp; SKILLS:  </w:t>
            </w:r>
          </w:p>
          <w:p w:rsidR="00B701AD" w:rsidRPr="008457B0" w:rsidRDefault="00B701AD" w:rsidP="00B701AD">
            <w:pPr>
              <w:ind w:left="357" w:right="-108" w:hanging="357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B73889" w:rsidRPr="008457B0" w:rsidRDefault="00B73889" w:rsidP="00B7388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57B0">
              <w:rPr>
                <w:rFonts w:asciiTheme="minorHAnsi" w:hAnsiTheme="minorHAnsi" w:cs="Calibri"/>
                <w:b/>
                <w:sz w:val="20"/>
                <w:szCs w:val="20"/>
              </w:rPr>
              <w:t>E</w:t>
            </w:r>
            <w:r w:rsidR="008457B0" w:rsidRPr="008457B0">
              <w:rPr>
                <w:rFonts w:asciiTheme="minorHAnsi" w:hAnsiTheme="minorHAnsi" w:cs="Calibri"/>
                <w:b/>
                <w:sz w:val="20"/>
                <w:szCs w:val="20"/>
              </w:rPr>
              <w:t>ssential</w:t>
            </w:r>
            <w:r w:rsidRPr="008457B0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8457B0" w:rsidRPr="008457B0" w:rsidRDefault="00376AB2" w:rsidP="009667BF">
            <w:pPr>
              <w:pStyle w:val="ListBullet"/>
              <w:numPr>
                <w:ilvl w:val="0"/>
                <w:numId w:val="42"/>
              </w:numPr>
            </w:pPr>
            <w:r>
              <w:t>Educated to d</w:t>
            </w:r>
            <w:r w:rsidR="008457B0" w:rsidRPr="008457B0">
              <w:t>egree level or equivalent vocational training/experience</w:t>
            </w:r>
            <w:r w:rsidR="00610199">
              <w:t>.</w:t>
            </w:r>
          </w:p>
          <w:p w:rsidR="008457B0" w:rsidRDefault="008457B0" w:rsidP="009667BF">
            <w:pPr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57B0">
              <w:rPr>
                <w:rFonts w:asciiTheme="minorHAnsi" w:hAnsiTheme="minorHAnsi" w:cs="Arial"/>
                <w:sz w:val="20"/>
                <w:szCs w:val="20"/>
              </w:rPr>
              <w:t xml:space="preserve">Ability to work in an intensive, commercially focused environment. </w:t>
            </w:r>
          </w:p>
          <w:p w:rsidR="005F6466" w:rsidRPr="005F6466" w:rsidRDefault="00610199" w:rsidP="009667BF">
            <w:pPr>
              <w:numPr>
                <w:ilvl w:val="0"/>
                <w:numId w:val="42"/>
              </w:numPr>
              <w:spacing w:line="240" w:lineRule="auto"/>
              <w:textAlignment w:val="baseline"/>
              <w:rPr>
                <w:rFonts w:asciiTheme="minorHAnsi" w:hAnsiTheme="minorHAnsi" w:cs="Helvetica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en-GB" w:eastAsia="en-GB"/>
              </w:rPr>
              <w:t>A strong network within the telco or u</w:t>
            </w:r>
            <w:r w:rsidR="005F6466" w:rsidRPr="005F6466">
              <w:rPr>
                <w:rFonts w:asciiTheme="minorHAnsi" w:hAnsiTheme="minorHAnsi" w:cs="Helvetica"/>
                <w:sz w:val="20"/>
                <w:szCs w:val="20"/>
                <w:lang w:val="en-GB" w:eastAsia="en-GB"/>
              </w:rPr>
              <w:t xml:space="preserve">tilities industries, able to demonstrate thought leadership within </w:t>
            </w:r>
            <w:r w:rsidR="005F6466">
              <w:rPr>
                <w:rFonts w:asciiTheme="minorHAnsi" w:hAnsiTheme="minorHAnsi" w:cs="Helvetica"/>
                <w:sz w:val="20"/>
                <w:szCs w:val="20"/>
                <w:lang w:val="en-GB" w:eastAsia="en-GB"/>
              </w:rPr>
              <w:t xml:space="preserve">the </w:t>
            </w:r>
            <w:r w:rsidR="005F6466" w:rsidRPr="005F6466">
              <w:rPr>
                <w:rFonts w:asciiTheme="minorHAnsi" w:hAnsiTheme="minorHAnsi" w:cs="Helvetica"/>
                <w:sz w:val="20"/>
                <w:szCs w:val="20"/>
                <w:lang w:val="en-GB" w:eastAsia="en-GB"/>
              </w:rPr>
              <w:t>sector</w:t>
            </w:r>
            <w:r w:rsidR="005F6466">
              <w:rPr>
                <w:rFonts w:asciiTheme="minorHAnsi" w:hAnsiTheme="minorHAnsi" w:cs="Helvetica"/>
                <w:sz w:val="20"/>
                <w:szCs w:val="20"/>
                <w:lang w:val="en-GB" w:eastAsia="en-GB"/>
              </w:rPr>
              <w:t>(s).</w:t>
            </w:r>
            <w:r w:rsidR="005F6466" w:rsidRPr="005F6466">
              <w:rPr>
                <w:rFonts w:asciiTheme="minorHAnsi" w:hAnsiTheme="minorHAnsi" w:cs="Helvetica"/>
                <w:sz w:val="20"/>
                <w:szCs w:val="20"/>
                <w:lang w:val="en-GB" w:eastAsia="en-GB"/>
              </w:rPr>
              <w:t xml:space="preserve"> </w:t>
            </w:r>
          </w:p>
          <w:p w:rsidR="008457B0" w:rsidRPr="008457B0" w:rsidRDefault="008457B0" w:rsidP="005F6466">
            <w:pPr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57B0">
              <w:rPr>
                <w:rFonts w:asciiTheme="minorHAnsi" w:hAnsiTheme="minorHAnsi" w:cs="Arial"/>
                <w:sz w:val="20"/>
                <w:szCs w:val="20"/>
              </w:rPr>
              <w:t xml:space="preserve">Can work well under </w:t>
            </w:r>
            <w:r w:rsidR="003B0010">
              <w:rPr>
                <w:rFonts w:asciiTheme="minorHAnsi" w:hAnsiTheme="minorHAnsi" w:cs="Arial"/>
                <w:sz w:val="20"/>
                <w:szCs w:val="20"/>
              </w:rPr>
              <w:t>pressure and to tight deadlines.</w:t>
            </w:r>
          </w:p>
          <w:p w:rsidR="008457B0" w:rsidRPr="008457B0" w:rsidRDefault="008457B0" w:rsidP="005F6466">
            <w:pPr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57B0">
              <w:rPr>
                <w:rFonts w:asciiTheme="minorHAnsi" w:hAnsiTheme="minorHAnsi" w:cs="Arial"/>
                <w:sz w:val="20"/>
                <w:szCs w:val="20"/>
              </w:rPr>
              <w:t xml:space="preserve">Ability to build relationships with external and internal users with stakeholders at all levels within commercial organisations. </w:t>
            </w:r>
          </w:p>
          <w:p w:rsidR="008457B0" w:rsidRPr="008457B0" w:rsidRDefault="008457B0" w:rsidP="005F6466">
            <w:pPr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57B0">
              <w:rPr>
                <w:rFonts w:asciiTheme="minorHAnsi" w:hAnsiTheme="minorHAnsi" w:cs="Arial"/>
                <w:sz w:val="20"/>
                <w:szCs w:val="20"/>
              </w:rPr>
              <w:t>Demonstrates the ability to negotiate co</w:t>
            </w:r>
            <w:r w:rsidR="00B20DF5">
              <w:rPr>
                <w:rFonts w:asciiTheme="minorHAnsi" w:hAnsiTheme="minorHAnsi" w:cs="Arial"/>
                <w:sz w:val="20"/>
                <w:szCs w:val="20"/>
              </w:rPr>
              <w:t>mmercial terms with external partners</w:t>
            </w:r>
            <w:r w:rsidR="003B001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457B0" w:rsidRPr="008457B0" w:rsidRDefault="008457B0" w:rsidP="005F6466">
            <w:pPr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57B0">
              <w:rPr>
                <w:rFonts w:asciiTheme="minorHAnsi" w:hAnsiTheme="minorHAnsi" w:cs="Arial"/>
                <w:sz w:val="20"/>
                <w:szCs w:val="20"/>
              </w:rPr>
              <w:t>Excellent written and verbal communication skills</w:t>
            </w:r>
            <w:r w:rsidR="003B001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457B0" w:rsidRPr="008457B0" w:rsidRDefault="008457B0" w:rsidP="005F6466">
            <w:pPr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57B0">
              <w:rPr>
                <w:rFonts w:asciiTheme="minorHAnsi" w:hAnsiTheme="minorHAnsi" w:cs="Arial"/>
                <w:sz w:val="20"/>
                <w:szCs w:val="20"/>
              </w:rPr>
              <w:t>Strong motivational, analytical and methodical attitude</w:t>
            </w:r>
            <w:r w:rsidR="003B0010">
              <w:rPr>
                <w:rFonts w:asciiTheme="minorHAnsi" w:hAnsiTheme="minorHAnsi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8457B0" w:rsidRPr="008457B0" w:rsidRDefault="008457B0" w:rsidP="005F6466">
            <w:pPr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57B0">
              <w:rPr>
                <w:rFonts w:asciiTheme="minorHAnsi" w:hAnsiTheme="minorHAnsi" w:cs="Arial"/>
                <w:sz w:val="20"/>
                <w:szCs w:val="20"/>
              </w:rPr>
              <w:t>Able to adjust to working within a team or on sole projects</w:t>
            </w:r>
            <w:r w:rsidR="003B001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457B0" w:rsidRPr="002557E9" w:rsidRDefault="008457B0" w:rsidP="005F6466">
            <w:pPr>
              <w:numPr>
                <w:ilvl w:val="0"/>
                <w:numId w:val="42"/>
              </w:numPr>
              <w:spacing w:line="240" w:lineRule="auto"/>
              <w:rPr>
                <w:rStyle w:val="fh"/>
                <w:rFonts w:asciiTheme="minorHAnsi" w:hAnsiTheme="minorHAnsi"/>
                <w:color w:val="000000"/>
                <w:sz w:val="20"/>
                <w:szCs w:val="20"/>
              </w:rPr>
            </w:pPr>
            <w:r w:rsidRPr="008457B0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 xml:space="preserve">Strong communication skills </w:t>
            </w:r>
            <w:r w:rsidRPr="008457B0">
              <w:rPr>
                <w:rStyle w:val="f127"/>
                <w:rFonts w:asciiTheme="minorHAnsi" w:hAnsiTheme="minorHAnsi" w:cs="Arial"/>
                <w:sz w:val="20"/>
                <w:szCs w:val="20"/>
                <w:lang w:val="en"/>
              </w:rPr>
              <w:t>–</w:t>
            </w:r>
            <w:r w:rsidRPr="008457B0">
              <w:rPr>
                <w:rStyle w:val="fh"/>
                <w:rFonts w:asciiTheme="minorHAnsi" w:hAnsiTheme="minorHAnsi" w:cs="Arial"/>
                <w:spacing w:val="-2"/>
                <w:sz w:val="20"/>
                <w:szCs w:val="20"/>
                <w:lang w:val="en"/>
              </w:rPr>
              <w:t xml:space="preserve"> the ability to make complex issues understandable and</w:t>
            </w:r>
            <w:r w:rsidRPr="008457B0">
              <w:rPr>
                <w:rFonts w:asciiTheme="minorHAnsi" w:hAnsiTheme="minorHAnsi" w:cs="Arial"/>
                <w:sz w:val="20"/>
                <w:szCs w:val="20"/>
                <w:lang w:val="en"/>
              </w:rPr>
              <w:t xml:space="preserve"> </w:t>
            </w:r>
            <w:r w:rsidRPr="008457B0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drive buy-in to them</w:t>
            </w:r>
            <w:r w:rsidR="003B0010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.</w:t>
            </w:r>
          </w:p>
          <w:p w:rsidR="002557E9" w:rsidRPr="008457B0" w:rsidRDefault="002557E9" w:rsidP="005F6466">
            <w:pPr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 xml:space="preserve">Ability to work with </w:t>
            </w:r>
            <w:r w:rsidR="003B0010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non-commercial</w:t>
            </w:r>
            <w:r w:rsidR="00B0701F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/finance-</w:t>
            </w:r>
            <w:r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minded individuals, finding an effective way to collaborate that delivers for all parties</w:t>
            </w:r>
            <w:r w:rsidR="00B0701F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.</w:t>
            </w:r>
          </w:p>
          <w:p w:rsidR="008457B0" w:rsidRPr="008457B0" w:rsidRDefault="008457B0" w:rsidP="005F6466">
            <w:pPr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57B0">
              <w:rPr>
                <w:rStyle w:val="fh"/>
                <w:rFonts w:asciiTheme="minorHAnsi" w:hAnsiTheme="minorHAnsi" w:cs="Arial"/>
                <w:spacing w:val="-2"/>
                <w:sz w:val="20"/>
                <w:szCs w:val="20"/>
                <w:lang w:val="en"/>
              </w:rPr>
              <w:t>Pr</w:t>
            </w:r>
            <w:r w:rsidR="00B0701F">
              <w:rPr>
                <w:rStyle w:val="fh"/>
                <w:rFonts w:asciiTheme="minorHAnsi" w:hAnsiTheme="minorHAnsi" w:cs="Arial"/>
                <w:spacing w:val="-2"/>
                <w:sz w:val="20"/>
                <w:szCs w:val="20"/>
                <w:lang w:val="en"/>
              </w:rPr>
              <w:t>oven strength as an influencer/</w:t>
            </w:r>
            <w:r w:rsidRPr="008457B0">
              <w:rPr>
                <w:rStyle w:val="fh"/>
                <w:rFonts w:asciiTheme="minorHAnsi" w:hAnsiTheme="minorHAnsi" w:cs="Arial"/>
                <w:spacing w:val="-2"/>
                <w:sz w:val="20"/>
                <w:szCs w:val="20"/>
                <w:lang w:val="en"/>
              </w:rPr>
              <w:t>negotiato</w:t>
            </w:r>
            <w:r w:rsidR="00B0701F">
              <w:rPr>
                <w:rStyle w:val="fh"/>
                <w:rFonts w:asciiTheme="minorHAnsi" w:hAnsiTheme="minorHAnsi" w:cs="Arial"/>
                <w:spacing w:val="17"/>
                <w:sz w:val="20"/>
                <w:szCs w:val="20"/>
                <w:lang w:val="en"/>
              </w:rPr>
              <w:t>r.</w:t>
            </w:r>
          </w:p>
          <w:p w:rsidR="002557E9" w:rsidRPr="002557E9" w:rsidRDefault="008457B0" w:rsidP="005F6466">
            <w:pPr>
              <w:pStyle w:val="ListBullet"/>
              <w:numPr>
                <w:ilvl w:val="0"/>
                <w:numId w:val="42"/>
              </w:numPr>
              <w:rPr>
                <w:rStyle w:val="f131"/>
                <w:color w:val="auto"/>
                <w:lang w:eastAsia="en-GB"/>
              </w:rPr>
            </w:pPr>
            <w:r w:rsidRPr="008457B0">
              <w:rPr>
                <w:lang w:eastAsia="en-GB"/>
              </w:rPr>
              <w:t>Can-do attitude, self-starter with a high level of initiative</w:t>
            </w:r>
            <w:r w:rsidR="00B0701F">
              <w:rPr>
                <w:lang w:eastAsia="en-GB"/>
              </w:rPr>
              <w:t>.</w:t>
            </w:r>
          </w:p>
          <w:p w:rsidR="008457B0" w:rsidRPr="008457B0" w:rsidRDefault="008457B0" w:rsidP="005F6466">
            <w:pPr>
              <w:numPr>
                <w:ilvl w:val="0"/>
                <w:numId w:val="42"/>
              </w:numPr>
              <w:spacing w:line="240" w:lineRule="auto"/>
              <w:rPr>
                <w:rStyle w:val="fh"/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457B0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 xml:space="preserve">Experience of delivering and </w:t>
            </w:r>
            <w:proofErr w:type="spellStart"/>
            <w:r w:rsidRPr="008457B0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analysing</w:t>
            </w:r>
            <w:proofErr w:type="spellEnd"/>
            <w:r w:rsidRPr="008457B0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 xml:space="preserve"> revenue/performance statistics to identify risks and opportunities and make recommendations for how to drive the business forwards.</w:t>
            </w:r>
          </w:p>
          <w:p w:rsidR="008457B0" w:rsidRPr="008457B0" w:rsidRDefault="008457B0" w:rsidP="005F6466">
            <w:pPr>
              <w:numPr>
                <w:ilvl w:val="0"/>
                <w:numId w:val="42"/>
              </w:numPr>
              <w:spacing w:line="240" w:lineRule="auto"/>
              <w:rPr>
                <w:rStyle w:val="fh"/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457B0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Excel</w:t>
            </w:r>
            <w:r w:rsidR="00B0701F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 xml:space="preserve"> including basic formulas, look-</w:t>
            </w:r>
            <w:r w:rsidRPr="008457B0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ups and pivots</w:t>
            </w:r>
            <w:r w:rsidR="00B0701F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.</w:t>
            </w:r>
          </w:p>
          <w:p w:rsidR="008457B0" w:rsidRPr="008457B0" w:rsidRDefault="008457B0" w:rsidP="008457B0">
            <w:pPr>
              <w:spacing w:line="240" w:lineRule="auto"/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8457B0" w:rsidRPr="008457B0" w:rsidRDefault="008457B0" w:rsidP="008457B0">
            <w:pPr>
              <w:ind w:left="357" w:right="-108" w:hanging="35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457B0">
              <w:rPr>
                <w:rFonts w:asciiTheme="minorHAnsi" w:hAnsiTheme="minorHAnsi" w:cs="Arial"/>
                <w:b/>
                <w:sz w:val="20"/>
                <w:szCs w:val="20"/>
              </w:rPr>
              <w:t>Desirable</w:t>
            </w:r>
            <w:r w:rsidR="00EE42EA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8457B0" w:rsidRPr="008457B0" w:rsidRDefault="008457B0" w:rsidP="005F6466">
            <w:pPr>
              <w:numPr>
                <w:ilvl w:val="0"/>
                <w:numId w:val="42"/>
              </w:numPr>
              <w:spacing w:line="240" w:lineRule="auto"/>
              <w:rPr>
                <w:rStyle w:val="fh"/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457B0">
              <w:rPr>
                <w:rFonts w:asciiTheme="minorHAnsi" w:hAnsiTheme="minorHAnsi" w:cs="Arial"/>
                <w:sz w:val="20"/>
                <w:szCs w:val="20"/>
              </w:rPr>
              <w:t>An understanding of price comparison sites</w:t>
            </w:r>
            <w:r w:rsidRPr="008457B0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.</w:t>
            </w:r>
          </w:p>
          <w:p w:rsidR="008457B0" w:rsidRPr="00B20DF5" w:rsidRDefault="008457B0" w:rsidP="005F6466">
            <w:pPr>
              <w:numPr>
                <w:ilvl w:val="0"/>
                <w:numId w:val="42"/>
              </w:numPr>
              <w:spacing w:line="240" w:lineRule="auto"/>
              <w:rPr>
                <w:rStyle w:val="fh"/>
                <w:rFonts w:asciiTheme="minorHAnsi" w:hAnsiTheme="minorHAnsi" w:cs="Arial"/>
                <w:sz w:val="20"/>
                <w:szCs w:val="20"/>
              </w:rPr>
            </w:pPr>
            <w:r w:rsidRPr="008457B0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Experience working i</w:t>
            </w:r>
            <w:r w:rsidR="002452F8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n financial services, i</w:t>
            </w:r>
            <w:r w:rsidR="00B53B7A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nsurance</w:t>
            </w:r>
            <w:r w:rsidR="002452F8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 xml:space="preserve"> or r</w:t>
            </w:r>
            <w:r w:rsidRPr="008457B0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etail</w:t>
            </w:r>
            <w:r w:rsidR="002452F8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.</w:t>
            </w:r>
          </w:p>
          <w:p w:rsidR="00B20DF5" w:rsidRPr="008457B0" w:rsidRDefault="00B20DF5" w:rsidP="005F6466">
            <w:pPr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fh"/>
                <w:rFonts w:asciiTheme="minorHAnsi" w:hAnsiTheme="minorHAnsi" w:cs="Arial"/>
                <w:spacing w:val="-2"/>
                <w:sz w:val="20"/>
                <w:szCs w:val="20"/>
                <w:lang w:val="en"/>
              </w:rPr>
              <w:t xml:space="preserve">Experience </w:t>
            </w:r>
            <w:r w:rsidRPr="008457B0">
              <w:rPr>
                <w:rStyle w:val="fh"/>
                <w:rFonts w:asciiTheme="minorHAnsi" w:hAnsiTheme="minorHAnsi" w:cs="Arial"/>
                <w:spacing w:val="-2"/>
                <w:sz w:val="20"/>
                <w:szCs w:val="20"/>
                <w:lang w:val="en"/>
              </w:rPr>
              <w:t>of leading and developing team</w:t>
            </w:r>
            <w:r w:rsidRPr="008457B0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s</w:t>
            </w:r>
            <w:r w:rsidR="00210898">
              <w:rPr>
                <w:rStyle w:val="fh"/>
                <w:rFonts w:asciiTheme="minorHAnsi" w:hAnsiTheme="minorHAnsi" w:cs="Arial"/>
                <w:sz w:val="20"/>
                <w:szCs w:val="20"/>
                <w:lang w:val="en"/>
              </w:rPr>
              <w:t>.</w:t>
            </w:r>
          </w:p>
          <w:p w:rsidR="00B73889" w:rsidRPr="008457B0" w:rsidRDefault="00B73889" w:rsidP="00037F41">
            <w:pPr>
              <w:pStyle w:val="BulletPara1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E77DBC" w:rsidRPr="008457B0" w:rsidRDefault="00E77DBC">
      <w:pPr>
        <w:rPr>
          <w:rFonts w:asciiTheme="minorHAnsi" w:hAnsiTheme="minorHAnsi" w:cs="Calibri"/>
          <w:sz w:val="20"/>
          <w:szCs w:val="20"/>
        </w:rPr>
      </w:pPr>
    </w:p>
    <w:sectPr w:rsidR="00E77DBC" w:rsidRPr="008457B0" w:rsidSect="00D022F0">
      <w:pgSz w:w="12240" w:h="15840" w:code="1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18A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C538C"/>
    <w:multiLevelType w:val="hybridMultilevel"/>
    <w:tmpl w:val="EE9EA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B9C"/>
    <w:multiLevelType w:val="hybridMultilevel"/>
    <w:tmpl w:val="6CCC5C00"/>
    <w:lvl w:ilvl="0" w:tplc="D7488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8D2"/>
    <w:multiLevelType w:val="singleLevel"/>
    <w:tmpl w:val="E58852B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DA46F23"/>
    <w:multiLevelType w:val="hybridMultilevel"/>
    <w:tmpl w:val="5F9656EE"/>
    <w:lvl w:ilvl="0" w:tplc="E75099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6A5B"/>
    <w:multiLevelType w:val="singleLevel"/>
    <w:tmpl w:val="ECAC3BC4"/>
    <w:lvl w:ilvl="0">
      <w:start w:val="1"/>
      <w:numFmt w:val="bullet"/>
      <w:pStyle w:val="BulletPar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B55B79"/>
    <w:multiLevelType w:val="hybridMultilevel"/>
    <w:tmpl w:val="5994E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56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176A60"/>
    <w:multiLevelType w:val="hybridMultilevel"/>
    <w:tmpl w:val="84CE6F8E"/>
    <w:lvl w:ilvl="0" w:tplc="9432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E3087"/>
    <w:multiLevelType w:val="hybridMultilevel"/>
    <w:tmpl w:val="B11882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02AC2"/>
    <w:multiLevelType w:val="hybridMultilevel"/>
    <w:tmpl w:val="10E6AEE8"/>
    <w:lvl w:ilvl="0" w:tplc="41D61918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30D711D"/>
    <w:multiLevelType w:val="multilevel"/>
    <w:tmpl w:val="4E4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26F89"/>
    <w:multiLevelType w:val="hybridMultilevel"/>
    <w:tmpl w:val="3E444634"/>
    <w:lvl w:ilvl="0" w:tplc="9432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71B0"/>
    <w:multiLevelType w:val="hybridMultilevel"/>
    <w:tmpl w:val="6EB0C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D1648"/>
    <w:multiLevelType w:val="hybridMultilevel"/>
    <w:tmpl w:val="E57C56C8"/>
    <w:lvl w:ilvl="0" w:tplc="D7488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837D2"/>
    <w:multiLevelType w:val="hybridMultilevel"/>
    <w:tmpl w:val="F8707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E5B29"/>
    <w:multiLevelType w:val="hybridMultilevel"/>
    <w:tmpl w:val="C5200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A5769"/>
    <w:multiLevelType w:val="multilevel"/>
    <w:tmpl w:val="6130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4B14B6"/>
    <w:multiLevelType w:val="hybridMultilevel"/>
    <w:tmpl w:val="4CE0AE08"/>
    <w:lvl w:ilvl="0" w:tplc="FE1E4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081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E398C"/>
    <w:multiLevelType w:val="hybridMultilevel"/>
    <w:tmpl w:val="CF90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C0D3B"/>
    <w:multiLevelType w:val="singleLevel"/>
    <w:tmpl w:val="00000000"/>
    <w:lvl w:ilvl="0">
      <w:start w:val="1"/>
      <w:numFmt w:val="bullet"/>
      <w:lvlText w:val="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</w:abstractNum>
  <w:abstractNum w:abstractNumId="21" w15:restartNumberingAfterBreak="0">
    <w:nsid w:val="3E532AC6"/>
    <w:multiLevelType w:val="multilevel"/>
    <w:tmpl w:val="6F5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10B53"/>
    <w:multiLevelType w:val="hybridMultilevel"/>
    <w:tmpl w:val="9EF2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45DFC"/>
    <w:multiLevelType w:val="hybridMultilevel"/>
    <w:tmpl w:val="94C4B128"/>
    <w:lvl w:ilvl="0" w:tplc="FAC03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275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3B7F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1F1C9C"/>
    <w:multiLevelType w:val="hybridMultilevel"/>
    <w:tmpl w:val="86947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22EC3"/>
    <w:multiLevelType w:val="hybridMultilevel"/>
    <w:tmpl w:val="14DA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63403"/>
    <w:multiLevelType w:val="hybridMultilevel"/>
    <w:tmpl w:val="246EEFF2"/>
    <w:lvl w:ilvl="0" w:tplc="CF2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B49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250A9E"/>
    <w:multiLevelType w:val="hybridMultilevel"/>
    <w:tmpl w:val="11761B7C"/>
    <w:lvl w:ilvl="0" w:tplc="D70EA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64189"/>
    <w:multiLevelType w:val="multilevel"/>
    <w:tmpl w:val="DC96E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66F03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2572CA"/>
    <w:multiLevelType w:val="hybridMultilevel"/>
    <w:tmpl w:val="39FE3B04"/>
    <w:lvl w:ilvl="0" w:tplc="6E029C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40843"/>
    <w:multiLevelType w:val="hybridMultilevel"/>
    <w:tmpl w:val="96BC1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041"/>
    <w:multiLevelType w:val="hybridMultilevel"/>
    <w:tmpl w:val="3E10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85E1B"/>
    <w:multiLevelType w:val="hybridMultilevel"/>
    <w:tmpl w:val="E4AE7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1B42B0"/>
    <w:multiLevelType w:val="hybridMultilevel"/>
    <w:tmpl w:val="46EE7C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E92665"/>
    <w:multiLevelType w:val="hybridMultilevel"/>
    <w:tmpl w:val="4A46B06C"/>
    <w:lvl w:ilvl="0" w:tplc="D70EA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9141A"/>
    <w:multiLevelType w:val="hybridMultilevel"/>
    <w:tmpl w:val="A83A5484"/>
    <w:lvl w:ilvl="0" w:tplc="D70EA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C1D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24"/>
  </w:num>
  <w:num w:numId="5">
    <w:abstractNumId w:val="7"/>
  </w:num>
  <w:num w:numId="6">
    <w:abstractNumId w:val="29"/>
  </w:num>
  <w:num w:numId="7">
    <w:abstractNumId w:val="32"/>
  </w:num>
  <w:num w:numId="8">
    <w:abstractNumId w:val="31"/>
  </w:num>
  <w:num w:numId="9">
    <w:abstractNumId w:val="40"/>
  </w:num>
  <w:num w:numId="10">
    <w:abstractNumId w:val="20"/>
  </w:num>
  <w:num w:numId="11">
    <w:abstractNumId w:val="15"/>
  </w:num>
  <w:num w:numId="12">
    <w:abstractNumId w:val="1"/>
  </w:num>
  <w:num w:numId="13">
    <w:abstractNumId w:val="6"/>
  </w:num>
  <w:num w:numId="14">
    <w:abstractNumId w:val="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11"/>
  </w:num>
  <w:num w:numId="20">
    <w:abstractNumId w:val="22"/>
  </w:num>
  <w:num w:numId="21">
    <w:abstractNumId w:val="2"/>
  </w:num>
  <w:num w:numId="22">
    <w:abstractNumId w:val="4"/>
  </w:num>
  <w:num w:numId="23">
    <w:abstractNumId w:val="14"/>
  </w:num>
  <w:num w:numId="24">
    <w:abstractNumId w:val="21"/>
  </w:num>
  <w:num w:numId="25">
    <w:abstractNumId w:val="36"/>
  </w:num>
  <w:num w:numId="26">
    <w:abstractNumId w:val="9"/>
  </w:num>
  <w:num w:numId="27">
    <w:abstractNumId w:val="37"/>
  </w:num>
  <w:num w:numId="28">
    <w:abstractNumId w:val="18"/>
  </w:num>
  <w:num w:numId="29">
    <w:abstractNumId w:val="33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28"/>
  </w:num>
  <w:num w:numId="35">
    <w:abstractNumId w:val="30"/>
  </w:num>
  <w:num w:numId="36">
    <w:abstractNumId w:val="39"/>
  </w:num>
  <w:num w:numId="37">
    <w:abstractNumId w:val="38"/>
  </w:num>
  <w:num w:numId="38">
    <w:abstractNumId w:val="23"/>
  </w:num>
  <w:num w:numId="39">
    <w:abstractNumId w:val="34"/>
  </w:num>
  <w:num w:numId="40">
    <w:abstractNumId w:val="35"/>
  </w:num>
  <w:num w:numId="41">
    <w:abstractNumId w:val="19"/>
  </w:num>
  <w:num w:numId="42">
    <w:abstractNumId w:val="27"/>
  </w:num>
  <w:num w:numId="43">
    <w:abstractNumId w:val="12"/>
  </w:num>
  <w:num w:numId="44">
    <w:abstractNumId w:val="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89"/>
    <w:rsid w:val="00001649"/>
    <w:rsid w:val="00003CA3"/>
    <w:rsid w:val="00013D72"/>
    <w:rsid w:val="00014358"/>
    <w:rsid w:val="000214A9"/>
    <w:rsid w:val="00024A50"/>
    <w:rsid w:val="00024C3A"/>
    <w:rsid w:val="00031471"/>
    <w:rsid w:val="00037E39"/>
    <w:rsid w:val="00037F41"/>
    <w:rsid w:val="000450AB"/>
    <w:rsid w:val="0004536B"/>
    <w:rsid w:val="000529E7"/>
    <w:rsid w:val="00052FFC"/>
    <w:rsid w:val="000555B4"/>
    <w:rsid w:val="00066767"/>
    <w:rsid w:val="00073A94"/>
    <w:rsid w:val="000826EA"/>
    <w:rsid w:val="00093CAE"/>
    <w:rsid w:val="00095ADA"/>
    <w:rsid w:val="000B76A7"/>
    <w:rsid w:val="000C1276"/>
    <w:rsid w:val="000E08DC"/>
    <w:rsid w:val="000E6262"/>
    <w:rsid w:val="000E7BCB"/>
    <w:rsid w:val="001000FD"/>
    <w:rsid w:val="00116AED"/>
    <w:rsid w:val="00126951"/>
    <w:rsid w:val="001343E3"/>
    <w:rsid w:val="00135BFE"/>
    <w:rsid w:val="001475EA"/>
    <w:rsid w:val="001569A5"/>
    <w:rsid w:val="001719C4"/>
    <w:rsid w:val="0018462E"/>
    <w:rsid w:val="00193076"/>
    <w:rsid w:val="001A038F"/>
    <w:rsid w:val="001B0020"/>
    <w:rsid w:val="001B0757"/>
    <w:rsid w:val="001D6AB9"/>
    <w:rsid w:val="001E4DCC"/>
    <w:rsid w:val="0020073C"/>
    <w:rsid w:val="002010D8"/>
    <w:rsid w:val="00210898"/>
    <w:rsid w:val="00222CFE"/>
    <w:rsid w:val="0023132C"/>
    <w:rsid w:val="00234807"/>
    <w:rsid w:val="0024039C"/>
    <w:rsid w:val="00242DA1"/>
    <w:rsid w:val="00244CF7"/>
    <w:rsid w:val="00244F3B"/>
    <w:rsid w:val="002452F8"/>
    <w:rsid w:val="00254C2A"/>
    <w:rsid w:val="002557E9"/>
    <w:rsid w:val="00265353"/>
    <w:rsid w:val="00285D87"/>
    <w:rsid w:val="002955EC"/>
    <w:rsid w:val="002D0036"/>
    <w:rsid w:val="002D1F9C"/>
    <w:rsid w:val="002E289D"/>
    <w:rsid w:val="002F77FC"/>
    <w:rsid w:val="00305FD8"/>
    <w:rsid w:val="00347AE7"/>
    <w:rsid w:val="00376AB2"/>
    <w:rsid w:val="00385EBA"/>
    <w:rsid w:val="00390D41"/>
    <w:rsid w:val="003A7F2D"/>
    <w:rsid w:val="003B0010"/>
    <w:rsid w:val="003B0CC4"/>
    <w:rsid w:val="003C01F6"/>
    <w:rsid w:val="003C03E0"/>
    <w:rsid w:val="003C43D5"/>
    <w:rsid w:val="003C6462"/>
    <w:rsid w:val="003D204E"/>
    <w:rsid w:val="003E1E40"/>
    <w:rsid w:val="003F4AA5"/>
    <w:rsid w:val="003F62A5"/>
    <w:rsid w:val="00414E14"/>
    <w:rsid w:val="00415393"/>
    <w:rsid w:val="004658F4"/>
    <w:rsid w:val="00475DA6"/>
    <w:rsid w:val="00476678"/>
    <w:rsid w:val="00484166"/>
    <w:rsid w:val="00491D83"/>
    <w:rsid w:val="00494D56"/>
    <w:rsid w:val="00496446"/>
    <w:rsid w:val="004C2E29"/>
    <w:rsid w:val="004D581F"/>
    <w:rsid w:val="004D754D"/>
    <w:rsid w:val="004E5866"/>
    <w:rsid w:val="004E58A5"/>
    <w:rsid w:val="004F6BE9"/>
    <w:rsid w:val="00513341"/>
    <w:rsid w:val="005214EE"/>
    <w:rsid w:val="0053017C"/>
    <w:rsid w:val="00531E68"/>
    <w:rsid w:val="00536383"/>
    <w:rsid w:val="00561263"/>
    <w:rsid w:val="005717FE"/>
    <w:rsid w:val="005871DD"/>
    <w:rsid w:val="0059196F"/>
    <w:rsid w:val="005A7F7B"/>
    <w:rsid w:val="005C10E3"/>
    <w:rsid w:val="005D11AE"/>
    <w:rsid w:val="005E0D5D"/>
    <w:rsid w:val="005E3706"/>
    <w:rsid w:val="005E7F58"/>
    <w:rsid w:val="005F4909"/>
    <w:rsid w:val="005F6466"/>
    <w:rsid w:val="00604D1D"/>
    <w:rsid w:val="00610199"/>
    <w:rsid w:val="00625305"/>
    <w:rsid w:val="00631BBD"/>
    <w:rsid w:val="00641CE1"/>
    <w:rsid w:val="00645A7C"/>
    <w:rsid w:val="00660912"/>
    <w:rsid w:val="00663A2C"/>
    <w:rsid w:val="006670B1"/>
    <w:rsid w:val="006674FC"/>
    <w:rsid w:val="0069083F"/>
    <w:rsid w:val="0069142E"/>
    <w:rsid w:val="00693B75"/>
    <w:rsid w:val="00694345"/>
    <w:rsid w:val="0069671D"/>
    <w:rsid w:val="006A34ED"/>
    <w:rsid w:val="006B47BA"/>
    <w:rsid w:val="006B787D"/>
    <w:rsid w:val="006D0E86"/>
    <w:rsid w:val="006D3F41"/>
    <w:rsid w:val="006E121D"/>
    <w:rsid w:val="006E496A"/>
    <w:rsid w:val="006E5F4D"/>
    <w:rsid w:val="006F14B7"/>
    <w:rsid w:val="007022D1"/>
    <w:rsid w:val="0071719B"/>
    <w:rsid w:val="00723916"/>
    <w:rsid w:val="00725216"/>
    <w:rsid w:val="00726B9E"/>
    <w:rsid w:val="007311BE"/>
    <w:rsid w:val="0073268D"/>
    <w:rsid w:val="00737150"/>
    <w:rsid w:val="00757ABB"/>
    <w:rsid w:val="007717D2"/>
    <w:rsid w:val="00777924"/>
    <w:rsid w:val="00785843"/>
    <w:rsid w:val="0079779F"/>
    <w:rsid w:val="007A77AD"/>
    <w:rsid w:val="007A7A9D"/>
    <w:rsid w:val="007B7807"/>
    <w:rsid w:val="007F5B0C"/>
    <w:rsid w:val="007F7E81"/>
    <w:rsid w:val="00802404"/>
    <w:rsid w:val="00813314"/>
    <w:rsid w:val="00833386"/>
    <w:rsid w:val="0083749D"/>
    <w:rsid w:val="00842DF9"/>
    <w:rsid w:val="00845510"/>
    <w:rsid w:val="008455E6"/>
    <w:rsid w:val="008457B0"/>
    <w:rsid w:val="008462D8"/>
    <w:rsid w:val="008501A1"/>
    <w:rsid w:val="00850F21"/>
    <w:rsid w:val="008541AD"/>
    <w:rsid w:val="0085619C"/>
    <w:rsid w:val="00870DDF"/>
    <w:rsid w:val="00881359"/>
    <w:rsid w:val="008865F4"/>
    <w:rsid w:val="00893A61"/>
    <w:rsid w:val="008970BF"/>
    <w:rsid w:val="008A6427"/>
    <w:rsid w:val="008B0D14"/>
    <w:rsid w:val="008B43EF"/>
    <w:rsid w:val="008D7CF3"/>
    <w:rsid w:val="008E3318"/>
    <w:rsid w:val="008E7C49"/>
    <w:rsid w:val="008F1C8A"/>
    <w:rsid w:val="0090007B"/>
    <w:rsid w:val="00902038"/>
    <w:rsid w:val="0091236B"/>
    <w:rsid w:val="00936A5E"/>
    <w:rsid w:val="00953738"/>
    <w:rsid w:val="009667BF"/>
    <w:rsid w:val="00972D6C"/>
    <w:rsid w:val="0097330D"/>
    <w:rsid w:val="00976DB7"/>
    <w:rsid w:val="00980BC9"/>
    <w:rsid w:val="009832B9"/>
    <w:rsid w:val="00986B87"/>
    <w:rsid w:val="00992AEF"/>
    <w:rsid w:val="0099660B"/>
    <w:rsid w:val="009A0566"/>
    <w:rsid w:val="009A38C7"/>
    <w:rsid w:val="009A5364"/>
    <w:rsid w:val="009C2540"/>
    <w:rsid w:val="009C6B2A"/>
    <w:rsid w:val="009C7479"/>
    <w:rsid w:val="009C7578"/>
    <w:rsid w:val="009C7B65"/>
    <w:rsid w:val="009D1FC1"/>
    <w:rsid w:val="00A00308"/>
    <w:rsid w:val="00A02A17"/>
    <w:rsid w:val="00A04A57"/>
    <w:rsid w:val="00A15BEB"/>
    <w:rsid w:val="00A26D20"/>
    <w:rsid w:val="00A61217"/>
    <w:rsid w:val="00A6610A"/>
    <w:rsid w:val="00A71140"/>
    <w:rsid w:val="00A82E11"/>
    <w:rsid w:val="00A83534"/>
    <w:rsid w:val="00A8468D"/>
    <w:rsid w:val="00AA1121"/>
    <w:rsid w:val="00AA22E7"/>
    <w:rsid w:val="00AD4371"/>
    <w:rsid w:val="00AE65EE"/>
    <w:rsid w:val="00AE68BF"/>
    <w:rsid w:val="00B0701F"/>
    <w:rsid w:val="00B15DBA"/>
    <w:rsid w:val="00B20DF5"/>
    <w:rsid w:val="00B3769E"/>
    <w:rsid w:val="00B51C44"/>
    <w:rsid w:val="00B52C59"/>
    <w:rsid w:val="00B53152"/>
    <w:rsid w:val="00B53B7A"/>
    <w:rsid w:val="00B640A8"/>
    <w:rsid w:val="00B701AD"/>
    <w:rsid w:val="00B73889"/>
    <w:rsid w:val="00B76053"/>
    <w:rsid w:val="00B76CEB"/>
    <w:rsid w:val="00BB072A"/>
    <w:rsid w:val="00BB5A39"/>
    <w:rsid w:val="00BD22D8"/>
    <w:rsid w:val="00BD6DC1"/>
    <w:rsid w:val="00BD734B"/>
    <w:rsid w:val="00BE05D7"/>
    <w:rsid w:val="00C0479A"/>
    <w:rsid w:val="00C20A8A"/>
    <w:rsid w:val="00C215C4"/>
    <w:rsid w:val="00C32B25"/>
    <w:rsid w:val="00C54AD7"/>
    <w:rsid w:val="00C75393"/>
    <w:rsid w:val="00C7596C"/>
    <w:rsid w:val="00C817B4"/>
    <w:rsid w:val="00C84A4C"/>
    <w:rsid w:val="00C84FFC"/>
    <w:rsid w:val="00C85DCF"/>
    <w:rsid w:val="00C8609E"/>
    <w:rsid w:val="00C86194"/>
    <w:rsid w:val="00C94A91"/>
    <w:rsid w:val="00CB0FC7"/>
    <w:rsid w:val="00CC24FD"/>
    <w:rsid w:val="00CC4ACC"/>
    <w:rsid w:val="00CC5A05"/>
    <w:rsid w:val="00CE371B"/>
    <w:rsid w:val="00CE4D72"/>
    <w:rsid w:val="00D022F0"/>
    <w:rsid w:val="00D04933"/>
    <w:rsid w:val="00D14F9F"/>
    <w:rsid w:val="00D15B63"/>
    <w:rsid w:val="00D66B43"/>
    <w:rsid w:val="00D66E6C"/>
    <w:rsid w:val="00D86397"/>
    <w:rsid w:val="00DA3D46"/>
    <w:rsid w:val="00DB3FAC"/>
    <w:rsid w:val="00DC51C3"/>
    <w:rsid w:val="00DC774E"/>
    <w:rsid w:val="00DC7A04"/>
    <w:rsid w:val="00DD6AD3"/>
    <w:rsid w:val="00E0023F"/>
    <w:rsid w:val="00E047FC"/>
    <w:rsid w:val="00E143D3"/>
    <w:rsid w:val="00E17907"/>
    <w:rsid w:val="00E2125D"/>
    <w:rsid w:val="00E25FC5"/>
    <w:rsid w:val="00E34A5B"/>
    <w:rsid w:val="00E40B41"/>
    <w:rsid w:val="00E5364A"/>
    <w:rsid w:val="00E77DBC"/>
    <w:rsid w:val="00E84F45"/>
    <w:rsid w:val="00EA57EE"/>
    <w:rsid w:val="00EA6EC7"/>
    <w:rsid w:val="00EB5B81"/>
    <w:rsid w:val="00EB6375"/>
    <w:rsid w:val="00EB74E1"/>
    <w:rsid w:val="00EB7E86"/>
    <w:rsid w:val="00EC0C41"/>
    <w:rsid w:val="00EC2CC2"/>
    <w:rsid w:val="00EC3529"/>
    <w:rsid w:val="00EC3C4D"/>
    <w:rsid w:val="00EE0759"/>
    <w:rsid w:val="00EE42EA"/>
    <w:rsid w:val="00F1239B"/>
    <w:rsid w:val="00F14621"/>
    <w:rsid w:val="00F15C2F"/>
    <w:rsid w:val="00F227BA"/>
    <w:rsid w:val="00F606FF"/>
    <w:rsid w:val="00F736E1"/>
    <w:rsid w:val="00F8541A"/>
    <w:rsid w:val="00F86B7E"/>
    <w:rsid w:val="00F91CF3"/>
    <w:rsid w:val="00F935B0"/>
    <w:rsid w:val="00FA1CDF"/>
    <w:rsid w:val="00FA7D22"/>
    <w:rsid w:val="00FC5C8A"/>
    <w:rsid w:val="00FD2E08"/>
    <w:rsid w:val="00FE0DCF"/>
    <w:rsid w:val="00FF145E"/>
    <w:rsid w:val="00FF4868"/>
    <w:rsid w:val="00FF537D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5F758"/>
  <w15:docId w15:val="{5C8C4FBA-9AAB-4DB9-9195-3BF43463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76"/>
    <w:pPr>
      <w:spacing w:line="260" w:lineRule="atLeast"/>
    </w:pPr>
    <w:rPr>
      <w:rFonts w:ascii="Book Antiqua" w:hAnsi="Book Antiqu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BulletPara1">
    <w:name w:val="BulletPara1"/>
    <w:basedOn w:val="Normal"/>
    <w:rsid w:val="00B73889"/>
    <w:pPr>
      <w:numPr>
        <w:numId w:val="1"/>
      </w:numPr>
      <w:spacing w:line="260" w:lineRule="exact"/>
    </w:pPr>
  </w:style>
  <w:style w:type="paragraph" w:styleId="ListBullet">
    <w:name w:val="List Bullet"/>
    <w:basedOn w:val="Normal"/>
    <w:autoRedefine/>
    <w:rsid w:val="008457B0"/>
    <w:pPr>
      <w:numPr>
        <w:numId w:val="29"/>
      </w:numPr>
    </w:pPr>
    <w:rPr>
      <w:rFonts w:asciiTheme="minorHAnsi" w:hAnsiTheme="minorHAnsi" w:cs="Calibri"/>
      <w:color w:val="000000"/>
      <w:sz w:val="20"/>
      <w:szCs w:val="20"/>
    </w:rPr>
  </w:style>
  <w:style w:type="paragraph" w:styleId="BodyText3">
    <w:name w:val="Body Text 3"/>
    <w:basedOn w:val="Normal"/>
    <w:rsid w:val="00B73889"/>
    <w:pPr>
      <w:spacing w:line="240" w:lineRule="auto"/>
    </w:pPr>
    <w:rPr>
      <w:rFonts w:ascii="Arial" w:hAnsi="Arial" w:cs="Arial"/>
      <w:snapToGrid w:val="0"/>
      <w:color w:val="000000"/>
      <w:sz w:val="24"/>
      <w:szCs w:val="24"/>
      <w:lang w:val="en-GB"/>
    </w:rPr>
  </w:style>
  <w:style w:type="paragraph" w:styleId="Title">
    <w:name w:val="Title"/>
    <w:basedOn w:val="Normal"/>
    <w:qFormat/>
    <w:rsid w:val="00014358"/>
    <w:pPr>
      <w:spacing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semiHidden/>
    <w:rsid w:val="00FF56A3"/>
    <w:pPr>
      <w:spacing w:line="240" w:lineRule="auto"/>
    </w:pPr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5A7F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A7F7B"/>
    <w:pPr>
      <w:spacing w:after="200" w:line="276" w:lineRule="auto"/>
      <w:ind w:left="720"/>
      <w:contextualSpacing/>
    </w:pPr>
    <w:rPr>
      <w:rFonts w:ascii="Calibri" w:eastAsia="Calibri" w:hAnsi="Calibri"/>
      <w:lang w:val="en-GB"/>
    </w:rPr>
  </w:style>
  <w:style w:type="character" w:customStyle="1" w:styleId="apple-converted-space">
    <w:name w:val="apple-converted-space"/>
    <w:basedOn w:val="DefaultParagraphFont"/>
    <w:rsid w:val="000450AB"/>
  </w:style>
  <w:style w:type="character" w:customStyle="1" w:styleId="HeaderChar">
    <w:name w:val="Header Char"/>
    <w:link w:val="Header"/>
    <w:rsid w:val="00BB072A"/>
    <w:rPr>
      <w:rFonts w:ascii="Book Antiqua" w:hAnsi="Book Antiqua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8457B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457B0"/>
    <w:rPr>
      <w:rFonts w:ascii="Book Antiqua" w:hAnsi="Book Antiqua"/>
      <w:sz w:val="22"/>
      <w:szCs w:val="22"/>
      <w:lang w:val="en-US" w:eastAsia="en-US"/>
    </w:rPr>
  </w:style>
  <w:style w:type="character" w:customStyle="1" w:styleId="fh">
    <w:name w:val="fh"/>
    <w:rsid w:val="008457B0"/>
  </w:style>
  <w:style w:type="character" w:customStyle="1" w:styleId="f131">
    <w:name w:val="f131"/>
    <w:rsid w:val="008457B0"/>
  </w:style>
  <w:style w:type="character" w:customStyle="1" w:styleId="f127">
    <w:name w:val="f127"/>
    <w:rsid w:val="0084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1: ROLE DESCRIPTION</vt:lpstr>
    </vt:vector>
  </TitlesOfParts>
  <Company>Accenture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1: ROLE DESCRIPTION</dc:title>
  <dc:creator>emily.r.eland</dc:creator>
  <cp:lastModifiedBy>Luke Warren</cp:lastModifiedBy>
  <cp:revision>23</cp:revision>
  <dcterms:created xsi:type="dcterms:W3CDTF">2016-11-11T12:40:00Z</dcterms:created>
  <dcterms:modified xsi:type="dcterms:W3CDTF">2016-11-11T15:59:00Z</dcterms:modified>
</cp:coreProperties>
</file>